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F4A7B">
      <w:pPr>
        <w:keepNext w:val="0"/>
        <w:keepLines w:val="0"/>
        <w:pageBreakBefore w:val="0"/>
        <w:widowControl/>
        <w:kinsoku/>
        <w:wordWrap w:val="0"/>
        <w:overflowPunct/>
        <w:topLinePunct w:val="0"/>
        <w:autoSpaceDE/>
        <w:autoSpaceDN/>
        <w:bidi w:val="0"/>
        <w:adjustRightInd/>
        <w:spacing w:line="579" w:lineRule="exact"/>
        <w:jc w:val="center"/>
        <w:textAlignment w:val="auto"/>
        <w:rPr>
          <w:rFonts w:hint="eastAsia" w:ascii="方正小标宋简体" w:hAnsi="方正小标宋简体" w:eastAsia="方正小标宋简体" w:cs="方正小标宋简体"/>
          <w:color w:val="000000"/>
          <w:kern w:val="0"/>
          <w:sz w:val="44"/>
          <w:szCs w:val="44"/>
          <w:u w:val="none"/>
        </w:rPr>
      </w:pPr>
    </w:p>
    <w:p w14:paraId="6F587E5F">
      <w:pPr>
        <w:pStyle w:val="5"/>
        <w:keepNext w:val="0"/>
        <w:keepLines w:val="0"/>
        <w:pageBreakBefore w:val="0"/>
        <w:kinsoku/>
        <w:overflowPunct/>
        <w:topLinePunct w:val="0"/>
        <w:autoSpaceDE/>
        <w:autoSpaceDN/>
        <w:bidi w:val="0"/>
        <w:adjustRightInd/>
        <w:spacing w:line="579" w:lineRule="exact"/>
        <w:textAlignment w:val="auto"/>
        <w:rPr>
          <w:rFonts w:hint="eastAsia"/>
          <w:u w:val="none"/>
        </w:rPr>
      </w:pPr>
    </w:p>
    <w:p w14:paraId="156B4713">
      <w:pPr>
        <w:keepNext w:val="0"/>
        <w:keepLines w:val="0"/>
        <w:pageBreakBefore w:val="0"/>
        <w:widowControl/>
        <w:kinsoku/>
        <w:wordWrap w:val="0"/>
        <w:overflowPunct/>
        <w:topLinePunct w:val="0"/>
        <w:autoSpaceDE/>
        <w:autoSpaceDN/>
        <w:bidi w:val="0"/>
        <w:adjustRightInd/>
        <w:spacing w:line="579" w:lineRule="exact"/>
        <w:jc w:val="center"/>
        <w:textAlignment w:val="auto"/>
        <w:rPr>
          <w:rFonts w:hint="eastAsia" w:ascii="方正小标宋简体" w:hAnsi="方正小标宋简体" w:eastAsia="方正小标宋简体" w:cs="方正小标宋简体"/>
          <w:color w:val="000000"/>
          <w:kern w:val="0"/>
          <w:sz w:val="44"/>
          <w:szCs w:val="44"/>
          <w:u w:val="none"/>
        </w:rPr>
      </w:pPr>
    </w:p>
    <w:p w14:paraId="3C42255F">
      <w:pPr>
        <w:keepNext w:val="0"/>
        <w:keepLines w:val="0"/>
        <w:pageBreakBefore w:val="0"/>
        <w:widowControl/>
        <w:kinsoku/>
        <w:wordWrap w:val="0"/>
        <w:overflowPunct/>
        <w:topLinePunct w:val="0"/>
        <w:autoSpaceDE/>
        <w:autoSpaceDN/>
        <w:bidi w:val="0"/>
        <w:adjustRightInd/>
        <w:spacing w:line="579" w:lineRule="exact"/>
        <w:jc w:val="center"/>
        <w:textAlignment w:val="auto"/>
        <w:rPr>
          <w:rFonts w:hint="eastAsia" w:ascii="方正小标宋简体" w:hAnsi="方正小标宋简体" w:eastAsia="方正小标宋简体" w:cs="方正小标宋简体"/>
          <w:color w:val="000000"/>
          <w:kern w:val="0"/>
          <w:sz w:val="44"/>
          <w:szCs w:val="44"/>
          <w:u w:val="none"/>
        </w:rPr>
      </w:pPr>
      <w:r>
        <w:rPr>
          <w:rFonts w:hint="eastAsia" w:ascii="方正小标宋简体" w:hAnsi="方正小标宋简体" w:eastAsia="方正小标宋简体" w:cs="方正小标宋简体"/>
          <w:color w:val="000000"/>
          <w:kern w:val="0"/>
          <w:sz w:val="44"/>
          <w:szCs w:val="44"/>
          <w:u w:val="none"/>
          <w:lang w:val="en-US" w:eastAsia="zh-CN"/>
        </w:rPr>
        <w:t>行政复议</w:t>
      </w:r>
      <w:r>
        <w:rPr>
          <w:rFonts w:hint="eastAsia" w:ascii="方正小标宋简体" w:hAnsi="方正小标宋简体" w:eastAsia="方正小标宋简体" w:cs="方正小标宋简体"/>
          <w:color w:val="000000"/>
          <w:kern w:val="0"/>
          <w:sz w:val="44"/>
          <w:szCs w:val="44"/>
          <w:u w:val="none"/>
        </w:rPr>
        <w:t>决定书</w:t>
      </w:r>
    </w:p>
    <w:p w14:paraId="5BC809E1">
      <w:pPr>
        <w:keepNext w:val="0"/>
        <w:keepLines w:val="0"/>
        <w:pageBreakBefore w:val="0"/>
        <w:widowControl/>
        <w:kinsoku/>
        <w:wordWrap/>
        <w:overflowPunct/>
        <w:topLinePunct w:val="0"/>
        <w:autoSpaceDE/>
        <w:autoSpaceDN/>
        <w:bidi w:val="0"/>
        <w:adjustRightInd/>
        <w:spacing w:line="579" w:lineRule="exact"/>
        <w:jc w:val="both"/>
        <w:textAlignment w:val="auto"/>
        <w:rPr>
          <w:rFonts w:hint="eastAsia" w:ascii="楷体_GB2312" w:hAnsi="楷体_GB2312" w:eastAsia="楷体_GB2312" w:cs="楷体_GB2312"/>
          <w:color w:val="auto"/>
          <w:sz w:val="32"/>
          <w:szCs w:val="32"/>
          <w:u w:val="none"/>
        </w:rPr>
      </w:pPr>
    </w:p>
    <w:p w14:paraId="45F6FF33">
      <w:pPr>
        <w:keepNext w:val="0"/>
        <w:keepLines w:val="0"/>
        <w:pageBreakBefore w:val="0"/>
        <w:widowControl/>
        <w:kinsoku/>
        <w:wordWrap/>
        <w:overflowPunct/>
        <w:topLinePunct w:val="0"/>
        <w:autoSpaceDE/>
        <w:autoSpaceDN/>
        <w:bidi w:val="0"/>
        <w:adjustRightInd/>
        <w:spacing w:line="579" w:lineRule="exact"/>
        <w:jc w:val="both"/>
        <w:textAlignment w:val="auto"/>
        <w:rPr>
          <w:rFonts w:hint="eastAsia"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u w:val="none"/>
        </w:rPr>
        <w:t xml:space="preserve">                             泉丰政行复〔2</w:t>
      </w:r>
      <w:r>
        <w:rPr>
          <w:rFonts w:hint="eastAsia" w:ascii="楷体_GB2312" w:hAnsi="楷体_GB2312" w:eastAsia="楷体_GB2312" w:cs="楷体_GB2312"/>
          <w:color w:val="auto"/>
          <w:sz w:val="32"/>
          <w:szCs w:val="32"/>
          <w:u w:val="none"/>
          <w:lang w:val="en-US" w:eastAsia="zh-CN"/>
        </w:rPr>
        <w:t>025</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val="en-US" w:eastAsia="zh-CN"/>
        </w:rPr>
        <w:t>247</w:t>
      </w:r>
      <w:r>
        <w:rPr>
          <w:rFonts w:hint="eastAsia" w:ascii="楷体_GB2312" w:hAnsi="楷体_GB2312" w:eastAsia="楷体_GB2312" w:cs="楷体_GB2312"/>
          <w:color w:val="auto"/>
          <w:sz w:val="32"/>
          <w:szCs w:val="32"/>
          <w:u w:val="none"/>
        </w:rPr>
        <w:t>号</w:t>
      </w:r>
    </w:p>
    <w:p w14:paraId="5770FED5">
      <w:pPr>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楷体_GB2312" w:hAnsi="宋体" w:eastAsia="楷体_GB2312" w:cs="楷体_GB2312"/>
          <w:color w:val="auto"/>
          <w:kern w:val="0"/>
          <w:sz w:val="32"/>
          <w:szCs w:val="32"/>
          <w:u w:val="none"/>
        </w:rPr>
      </w:pPr>
    </w:p>
    <w:p w14:paraId="5C8EB55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bCs w:val="0"/>
          <w:color w:val="auto"/>
          <w:kern w:val="0"/>
          <w:sz w:val="32"/>
          <w:szCs w:val="32"/>
          <w:u w:val="none"/>
        </w:rPr>
        <w:t>申请人：</w:t>
      </w:r>
      <w:r>
        <w:rPr>
          <w:rFonts w:hint="eastAsia" w:ascii="仿宋_GB2312" w:hAnsi="仿宋_GB2312" w:eastAsia="仿宋_GB2312" w:cs="仿宋_GB2312"/>
          <w:b w:val="0"/>
          <w:bCs/>
          <w:color w:val="auto"/>
          <w:kern w:val="0"/>
          <w:sz w:val="32"/>
          <w:szCs w:val="32"/>
          <w:u w:val="none"/>
          <w:lang w:eastAsia="zh-CN"/>
        </w:rPr>
        <w:t>黄某，</w:t>
      </w:r>
      <w:r>
        <w:rPr>
          <w:rFonts w:hint="eastAsia" w:ascii="仿宋_GB2312" w:hAnsi="仿宋_GB2312" w:eastAsia="仿宋_GB2312" w:cs="仿宋_GB2312"/>
          <w:b w:val="0"/>
          <w:bCs/>
          <w:color w:val="auto"/>
          <w:kern w:val="0"/>
          <w:sz w:val="32"/>
          <w:szCs w:val="32"/>
          <w:u w:val="none"/>
          <w:lang w:val="en-US" w:eastAsia="zh-CN"/>
        </w:rPr>
        <w:t>男，汉族，20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 w:val="0"/>
          <w:bCs/>
          <w:color w:val="auto"/>
          <w:kern w:val="0"/>
          <w:sz w:val="32"/>
          <w:szCs w:val="32"/>
          <w:u w:val="none"/>
          <w:lang w:val="en-US" w:eastAsia="zh-CN"/>
        </w:rPr>
        <w:t>年*月*日出生，公民身份号码：361</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 w:val="0"/>
          <w:bCs/>
          <w:color w:val="auto"/>
          <w:kern w:val="0"/>
          <w:sz w:val="32"/>
          <w:szCs w:val="32"/>
          <w:u w:val="none"/>
          <w:lang w:val="en-US" w:eastAsia="zh-CN"/>
        </w:rPr>
        <w:t>0011，住所：江西省抚州市</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 w:val="0"/>
          <w:bCs/>
          <w:color w:val="auto"/>
          <w:kern w:val="0"/>
          <w:sz w:val="32"/>
          <w:szCs w:val="32"/>
          <w:u w:val="none"/>
          <w:lang w:val="en-US" w:eastAsia="zh-CN"/>
        </w:rPr>
        <w:t>县</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 w:val="0"/>
          <w:bCs/>
          <w:color w:val="auto"/>
          <w:kern w:val="0"/>
          <w:sz w:val="32"/>
          <w:szCs w:val="32"/>
          <w:u w:val="none"/>
          <w:lang w:val="en-US" w:eastAsia="zh-CN"/>
        </w:rPr>
        <w:t>镇</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 w:val="0"/>
          <w:bCs/>
          <w:color w:val="auto"/>
          <w:kern w:val="0"/>
          <w:sz w:val="32"/>
          <w:szCs w:val="32"/>
          <w:u w:val="none"/>
          <w:lang w:val="en-US" w:eastAsia="zh-CN"/>
        </w:rPr>
        <w:t>村</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 w:val="0"/>
          <w:bCs/>
          <w:color w:val="auto"/>
          <w:kern w:val="0"/>
          <w:sz w:val="32"/>
          <w:szCs w:val="32"/>
          <w:u w:val="none"/>
          <w:lang w:val="en-US" w:eastAsia="zh-CN"/>
        </w:rPr>
        <w:t>组</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 w:val="0"/>
          <w:bCs/>
          <w:color w:val="auto"/>
          <w:kern w:val="0"/>
          <w:sz w:val="32"/>
          <w:szCs w:val="32"/>
          <w:u w:val="none"/>
          <w:lang w:val="en-US" w:eastAsia="zh-CN"/>
        </w:rPr>
        <w:t>号。</w:t>
      </w:r>
    </w:p>
    <w:p w14:paraId="6BA3CAFC">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color w:val="auto"/>
          <w:kern w:val="0"/>
          <w:sz w:val="32"/>
          <w:szCs w:val="32"/>
          <w:u w:val="none"/>
          <w:lang w:eastAsia="zh-CN"/>
        </w:rPr>
      </w:pPr>
      <w:r>
        <w:rPr>
          <w:rFonts w:hint="eastAsia" w:ascii="仿宋_GB2312" w:hAnsi="仿宋_GB2312" w:eastAsia="仿宋_GB2312" w:cs="仿宋_GB2312"/>
          <w:b/>
          <w:bCs w:val="0"/>
          <w:color w:val="auto"/>
          <w:kern w:val="0"/>
          <w:sz w:val="32"/>
          <w:szCs w:val="32"/>
          <w:u w:val="none"/>
          <w:lang w:val="en-US" w:eastAsia="zh-CN"/>
        </w:rPr>
        <w:t>被申请人：</w:t>
      </w:r>
      <w:r>
        <w:rPr>
          <w:rFonts w:hint="eastAsia" w:ascii="仿宋_GB2312" w:hAnsi="仿宋_GB2312" w:eastAsia="仿宋_GB2312" w:cs="仿宋_GB2312"/>
          <w:b w:val="0"/>
          <w:bCs/>
          <w:color w:val="auto"/>
          <w:sz w:val="32"/>
          <w:szCs w:val="32"/>
          <w:u w:val="none"/>
        </w:rPr>
        <w:t>泉州市丰泽区市场监督管理局</w:t>
      </w:r>
      <w:r>
        <w:rPr>
          <w:rFonts w:hint="eastAsia" w:ascii="仿宋_GB2312"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kern w:val="0"/>
          <w:sz w:val="32"/>
          <w:szCs w:val="32"/>
          <w:u w:val="none"/>
        </w:rPr>
        <w:t>地址：泉州市丰泽区刺桐西路瑞祥西苑1号楼</w:t>
      </w:r>
      <w:r>
        <w:rPr>
          <w:rFonts w:hint="eastAsia" w:ascii="仿宋_GB2312" w:hAnsi="仿宋_GB2312" w:eastAsia="仿宋_GB2312" w:cs="仿宋_GB2312"/>
          <w:b w:val="0"/>
          <w:bCs/>
          <w:color w:val="auto"/>
          <w:kern w:val="0"/>
          <w:sz w:val="32"/>
          <w:szCs w:val="32"/>
          <w:u w:val="none"/>
          <w:lang w:eastAsia="zh-CN"/>
        </w:rPr>
        <w:t>。</w:t>
      </w:r>
    </w:p>
    <w:p w14:paraId="2B34CB73">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color w:val="auto"/>
          <w:kern w:val="0"/>
          <w:sz w:val="32"/>
          <w:szCs w:val="32"/>
          <w:u w:val="none"/>
          <w:lang w:val="en-US"/>
        </w:rPr>
      </w:pPr>
      <w:r>
        <w:rPr>
          <w:rFonts w:hint="eastAsia" w:ascii="仿宋_GB2312" w:hAnsi="仿宋_GB2312" w:eastAsia="仿宋_GB2312" w:cs="仿宋_GB2312"/>
          <w:b w:val="0"/>
          <w:bCs/>
          <w:color w:val="auto"/>
          <w:kern w:val="0"/>
          <w:sz w:val="32"/>
          <w:szCs w:val="32"/>
          <w:u w:val="none"/>
        </w:rPr>
        <w:t>法定代表人：</w:t>
      </w:r>
      <w:r>
        <w:rPr>
          <w:rFonts w:hint="eastAsia" w:ascii="仿宋_GB2312" w:hAnsi="仿宋_GB2312" w:eastAsia="仿宋_GB2312" w:cs="仿宋_GB2312"/>
          <w:b w:val="0"/>
          <w:bCs/>
          <w:color w:val="auto"/>
          <w:kern w:val="0"/>
          <w:sz w:val="32"/>
          <w:szCs w:val="32"/>
          <w:u w:val="none"/>
          <w:lang w:val="en-US" w:eastAsia="zh-CN"/>
        </w:rPr>
        <w:t>康招传</w:t>
      </w:r>
      <w:r>
        <w:rPr>
          <w:rFonts w:hint="eastAsia" w:ascii="仿宋_GB2312" w:hAnsi="仿宋_GB2312" w:eastAsia="仿宋_GB2312" w:cs="仿宋_GB2312"/>
          <w:b w:val="0"/>
          <w:bCs/>
          <w:color w:val="auto"/>
          <w:kern w:val="0"/>
          <w:sz w:val="32"/>
          <w:szCs w:val="32"/>
          <w:u w:val="none"/>
        </w:rPr>
        <w:t>，职务：局长。</w:t>
      </w:r>
    </w:p>
    <w:p w14:paraId="128BD4FD">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color w:val="auto"/>
          <w:kern w:val="0"/>
          <w:sz w:val="32"/>
          <w:szCs w:val="32"/>
          <w:u w:val="none"/>
          <w:lang w:eastAsia="zh-CN"/>
        </w:rPr>
      </w:pPr>
    </w:p>
    <w:p w14:paraId="5757522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color w:val="auto"/>
          <w:kern w:val="0"/>
          <w:sz w:val="32"/>
          <w:szCs w:val="32"/>
          <w:u w:val="none"/>
          <w:lang w:eastAsia="zh-CN"/>
        </w:rPr>
      </w:pPr>
      <w:r>
        <w:rPr>
          <w:rFonts w:hint="eastAsia" w:ascii="仿宋_GB2312" w:hAnsi="仿宋_GB2312" w:eastAsia="仿宋_GB2312" w:cs="仿宋_GB2312"/>
          <w:b w:val="0"/>
          <w:bCs/>
          <w:color w:val="auto"/>
          <w:kern w:val="0"/>
          <w:sz w:val="32"/>
          <w:szCs w:val="32"/>
          <w:u w:val="none"/>
        </w:rPr>
        <w:t>申请人</w:t>
      </w:r>
      <w:r>
        <w:rPr>
          <w:rFonts w:hint="eastAsia" w:ascii="仿宋_GB2312" w:hAnsi="仿宋_GB2312" w:eastAsia="仿宋_GB2312" w:cs="仿宋_GB2312"/>
          <w:b w:val="0"/>
          <w:bCs/>
          <w:color w:val="auto"/>
          <w:kern w:val="0"/>
          <w:sz w:val="32"/>
          <w:szCs w:val="32"/>
          <w:u w:val="none"/>
          <w:lang w:val="en-US" w:eastAsia="zh-CN"/>
        </w:rPr>
        <w:t>黄某不服被申请人泉州市丰泽区市场监督管理局就其举报事项作出不予立案决定申请行政复议。经审查，本机关依法于2025年8月26日予以受理并适用普通程序审理，</w:t>
      </w:r>
      <w:r>
        <w:rPr>
          <w:rFonts w:hint="eastAsia" w:ascii="仿宋_GB2312" w:hAnsi="仿宋_GB2312" w:eastAsia="仿宋_GB2312" w:cs="仿宋_GB2312"/>
          <w:b w:val="0"/>
          <w:bCs/>
          <w:color w:val="auto"/>
          <w:kern w:val="0"/>
          <w:sz w:val="32"/>
          <w:szCs w:val="32"/>
          <w:highlight w:val="none"/>
          <w:u w:val="none"/>
          <w:lang w:val="en-US" w:eastAsia="zh-CN"/>
        </w:rPr>
        <w:t>于2025年9月30日通过电</w:t>
      </w:r>
      <w:r>
        <w:rPr>
          <w:rFonts w:hint="eastAsia" w:ascii="仿宋_GB2312" w:hAnsi="仿宋_GB2312" w:eastAsia="仿宋_GB2312" w:cs="仿宋_GB2312"/>
          <w:b w:val="0"/>
          <w:bCs/>
          <w:color w:val="auto"/>
          <w:kern w:val="0"/>
          <w:sz w:val="32"/>
          <w:szCs w:val="32"/>
          <w:u w:val="none"/>
          <w:lang w:val="en-US" w:eastAsia="zh-CN"/>
        </w:rPr>
        <w:t>话听取了申请人意见。本案</w:t>
      </w:r>
      <w:r>
        <w:rPr>
          <w:rFonts w:hint="eastAsia" w:ascii="仿宋_GB2312" w:hAnsi="仿宋_GB2312" w:eastAsia="仿宋_GB2312" w:cs="仿宋_GB2312"/>
          <w:b w:val="0"/>
          <w:bCs/>
          <w:color w:val="auto"/>
          <w:kern w:val="0"/>
          <w:sz w:val="32"/>
          <w:szCs w:val="32"/>
          <w:u w:val="none"/>
        </w:rPr>
        <w:t>现已审理终结。</w:t>
      </w:r>
    </w:p>
    <w:p w14:paraId="2C99987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bCs w:val="0"/>
          <w:color w:val="auto"/>
          <w:kern w:val="0"/>
          <w:sz w:val="32"/>
          <w:szCs w:val="32"/>
          <w:u w:val="none"/>
        </w:rPr>
        <w:t>申请人请求：</w:t>
      </w:r>
      <w:r>
        <w:rPr>
          <w:rFonts w:hint="eastAsia" w:ascii="仿宋_GB2312" w:hAnsi="仿宋_GB2312" w:eastAsia="仿宋_GB2312" w:cs="仿宋_GB2312"/>
          <w:b w:val="0"/>
          <w:bCs/>
          <w:color w:val="auto"/>
          <w:kern w:val="0"/>
          <w:sz w:val="32"/>
          <w:szCs w:val="32"/>
          <w:u w:val="none"/>
          <w:lang w:val="en-US" w:eastAsia="zh-CN"/>
        </w:rPr>
        <w:t>1.</w:t>
      </w:r>
      <w:r>
        <w:rPr>
          <w:rFonts w:hint="eastAsia" w:ascii="仿宋_GB2312" w:hAnsi="仿宋_GB2312" w:eastAsia="仿宋_GB2312" w:cs="仿宋_GB2312"/>
          <w:bCs/>
          <w:color w:val="auto"/>
          <w:kern w:val="0"/>
          <w:sz w:val="32"/>
          <w:szCs w:val="32"/>
          <w:lang w:val="en-US" w:eastAsia="zh-CN"/>
        </w:rPr>
        <w:t>确认被申请人就申请人举报事项作出不予立案决定程序违法</w:t>
      </w:r>
      <w:r>
        <w:rPr>
          <w:rFonts w:hint="eastAsia" w:ascii="仿宋_GB2312" w:hAnsi="仿宋_GB2312" w:eastAsia="仿宋_GB2312" w:cs="仿宋_GB2312"/>
          <w:b w:val="0"/>
          <w:bCs/>
          <w:color w:val="auto"/>
          <w:kern w:val="0"/>
          <w:sz w:val="32"/>
          <w:szCs w:val="32"/>
          <w:u w:val="none"/>
          <w:lang w:val="en-US" w:eastAsia="zh-CN"/>
        </w:rPr>
        <w:t>；2.</w:t>
      </w:r>
      <w:r>
        <w:rPr>
          <w:rFonts w:hint="eastAsia" w:ascii="仿宋_GB2312" w:hAnsi="仿宋_GB2312" w:eastAsia="仿宋_GB2312" w:cs="仿宋_GB2312"/>
          <w:bCs/>
          <w:color w:val="auto"/>
          <w:kern w:val="0"/>
          <w:sz w:val="32"/>
          <w:szCs w:val="32"/>
          <w:lang w:val="en-US" w:eastAsia="zh-CN"/>
        </w:rPr>
        <w:t>责令被申请人限期履行法定职责。</w:t>
      </w:r>
    </w:p>
    <w:p w14:paraId="74F830D3">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bCs w:val="0"/>
          <w:color w:val="auto"/>
          <w:kern w:val="0"/>
          <w:sz w:val="32"/>
          <w:szCs w:val="32"/>
          <w:u w:val="none"/>
          <w:lang w:val="en-US" w:eastAsia="zh-CN"/>
        </w:rPr>
        <w:t>申请人称：</w:t>
      </w:r>
      <w:r>
        <w:rPr>
          <w:rFonts w:hint="eastAsia" w:ascii="仿宋_GB2312" w:hAnsi="仿宋_GB2312" w:eastAsia="仿宋_GB2312" w:cs="仿宋_GB2312"/>
          <w:bCs/>
          <w:color w:val="auto"/>
          <w:kern w:val="0"/>
          <w:sz w:val="32"/>
          <w:szCs w:val="32"/>
          <w:lang w:val="en-US" w:eastAsia="zh-CN"/>
        </w:rPr>
        <w:t>2025年8月6日，被申请人在12315平台上就申请人举报事项告知结案内容：“经查，举报事项不予立案。”申请人不服被申请人的该行政行为，认为其程序违法，不能因找不到人就终止案件调查、决定不予立案。</w:t>
      </w:r>
    </w:p>
    <w:p w14:paraId="6F0B7782">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市场监督管理行政处罚程序规定》第四十六条：“有下列情形之一的，经市场监督管理部门负责人批准，中止案件调查：（四）因当事人下落不明致使案件暂时无法调查的；中止调查的原因消除后，应当立即恢复案件调查。”因此，被申请人以找不到人终止案件调查是程序违法。</w:t>
      </w:r>
    </w:p>
    <w:p w14:paraId="062F9AD5">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按程序应出具协助调查函。找不到人，说明被举报人在登记时留的电话、经营地址发生了变化，被申请人应依据《市场监督管理行政处罚程序规定》第四十五条：“市场监督管理部门在办理行政处罚案件时，确需其他市场监督管理部门协助调查取证的，应当出具协助调查函。”的规定要求平台经营者所在地市场监督管理机关予以协助，获取被举报人真实的联系方式、经营场所，而不是简单以不予立案对举报件予以办结。</w:t>
      </w:r>
    </w:p>
    <w:p w14:paraId="15AB6663">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出具协助调查函，是能够获取被举报人真实的联系方式和真实的经营场所的。依据《网络交易监督管理办法》第二十四条：“网络交易平台经营者应当要求申请进入平台销售商品或者提供服务的经营者提交其身份、地址、联系方式、行政许可等真实信息，进行核验、登记，建立登记档案，并至少每六个月核验更新一次。”第三十四条：“市场监督管理部门在依法开展监督检查、案件调查、事故处置、缺陷消费品召回，消费争议处理等监管执法活动时，可以要求网络交易平台经营者提供有关的平台内经营者身份信息，商品或者服务信息，支付记录，物流快递、退换货以及售后等交易信息。网络交易平台经营者应当提供，并在技术方面积极配合市场监督管理部门开展网络交易违法行为监测工作</w:t>
      </w:r>
      <w:r>
        <w:rPr>
          <w:rFonts w:hint="eastAsia" w:ascii="Arial" w:hAnsi="Arial" w:eastAsia="仿宋_GB2312" w:cs="Arial"/>
          <w:bCs/>
          <w:color w:val="auto"/>
          <w:kern w:val="0"/>
          <w:sz w:val="32"/>
          <w:szCs w:val="32"/>
          <w:lang w:val="en-US" w:eastAsia="zh-CN"/>
        </w:rPr>
        <w:t>……</w:t>
      </w:r>
      <w:r>
        <w:rPr>
          <w:rFonts w:hint="eastAsia" w:ascii="仿宋_GB2312" w:hAnsi="仿宋_GB2312" w:eastAsia="仿宋_GB2312" w:cs="仿宋_GB2312"/>
          <w:bCs/>
          <w:color w:val="auto"/>
          <w:kern w:val="0"/>
          <w:sz w:val="32"/>
          <w:szCs w:val="32"/>
          <w:lang w:val="en-US" w:eastAsia="zh-CN"/>
        </w:rPr>
        <w:t>市场监督管理部门发现网络交易经营者有违法行为，依法要求网络交易平台经营者、其他服务提供者采取措施制止的，网络交易平台经营者、其他服务提供者应当予以配合。”</w:t>
      </w:r>
    </w:p>
    <w:p w14:paraId="68461A34">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依据《市场监督管理行政处罚程序规定》第四十三条：“办案人员在调查取证过程中，无法通知当事人，当事人不到场或者拒绝接受调查，当事人拒绝签名、盖章或者以其他方式确认的，办案人员应当在笔录或者其他材料上注明情况，并采取录音、录像等方式记录，必要时可以邀请有关人员作为见证人。”在被申请人之回复中并未见是否录音、录像，并邀请有关人员做证。</w:t>
      </w:r>
    </w:p>
    <w:p w14:paraId="736EAA8F">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5.即使被投诉举报人现处于异常名录，也应当先立案依法进行案件调查，待中止调查的原因消除后，立即恢复案件调查。但是被申请人却仅仅将被投诉举报人列入异常名录，不作任何立案登记，将来被投诉举报人只需要移除异常名录，公司便可以正常运作，就像没事发生一样。</w:t>
      </w:r>
    </w:p>
    <w:p w14:paraId="1D36DF97">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highlight w:val="none"/>
          <w:lang w:val="en-US" w:eastAsia="zh-CN"/>
        </w:rPr>
        <w:t>6.</w:t>
      </w:r>
      <w:r>
        <w:rPr>
          <w:rFonts w:hint="eastAsia" w:ascii="仿宋_GB2312" w:hAnsi="仿宋_GB2312" w:eastAsia="仿宋_GB2312" w:cs="仿宋_GB2312"/>
          <w:bCs/>
          <w:color w:val="auto"/>
          <w:kern w:val="0"/>
          <w:sz w:val="32"/>
          <w:szCs w:val="32"/>
          <w:lang w:val="en-US" w:eastAsia="zh-CN"/>
        </w:rPr>
        <w:t>根据《市场监督管理行政处罚程序规定》第十九条：“经核查，符合下列条件的，应当立案：（一）有证据初步证明存在违反市场监督管理法律、法规、规章的行为；（二）依据市场监督管理法律、法规、规章应当给予行政处罚；（三）属于本部门管辖；（四）在给予行政处罚的法定期限内。”申请人提供的举报事项符合全部规定，被申请人应当予以立案。被申请人作出的行政行为未告知任何相关信息，未引用正确的法律依据，适用法律错误。</w:t>
      </w:r>
    </w:p>
    <w:p w14:paraId="4D7D1316">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7.不予立案结案内容未告知申请人行政复议的权利，行政复议机关和行政复议申请期限，不符合《中华人民共和国行政复议法实施条例》第十七条规定，视为剥夺申请人法定知情权、救济权，属于程序违法。</w:t>
      </w:r>
    </w:p>
    <w:p w14:paraId="337F45F0">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bCs w:val="0"/>
          <w:color w:val="auto"/>
          <w:kern w:val="0"/>
          <w:sz w:val="32"/>
          <w:szCs w:val="32"/>
          <w:highlight w:val="none"/>
          <w:u w:val="none"/>
          <w:lang w:val="en-US" w:eastAsia="zh-CN"/>
        </w:rPr>
        <w:t>被</w:t>
      </w:r>
      <w:r>
        <w:rPr>
          <w:rFonts w:hint="eastAsia" w:ascii="仿宋_GB2312" w:hAnsi="仿宋_GB2312" w:eastAsia="仿宋_GB2312" w:cs="仿宋_GB2312"/>
          <w:b/>
          <w:bCs w:val="0"/>
          <w:color w:val="auto"/>
          <w:kern w:val="0"/>
          <w:sz w:val="32"/>
          <w:szCs w:val="32"/>
          <w:highlight w:val="none"/>
          <w:u w:val="none"/>
        </w:rPr>
        <w:t>申请人</w:t>
      </w:r>
      <w:r>
        <w:rPr>
          <w:rFonts w:hint="eastAsia" w:ascii="仿宋_GB2312" w:hAnsi="仿宋_GB2312" w:eastAsia="仿宋_GB2312" w:cs="仿宋_GB2312"/>
          <w:b/>
          <w:bCs w:val="0"/>
          <w:color w:val="auto"/>
          <w:kern w:val="0"/>
          <w:sz w:val="32"/>
          <w:szCs w:val="32"/>
          <w:highlight w:val="none"/>
          <w:u w:val="none"/>
          <w:lang w:eastAsia="zh-CN"/>
        </w:rPr>
        <w:t>答复</w:t>
      </w:r>
      <w:r>
        <w:rPr>
          <w:rFonts w:hint="eastAsia" w:ascii="仿宋_GB2312" w:hAnsi="仿宋_GB2312" w:eastAsia="仿宋_GB2312" w:cs="仿宋_GB2312"/>
          <w:b/>
          <w:bCs w:val="0"/>
          <w:color w:val="auto"/>
          <w:kern w:val="0"/>
          <w:sz w:val="32"/>
          <w:szCs w:val="32"/>
          <w:highlight w:val="none"/>
          <w:u w:val="none"/>
        </w:rPr>
        <w:t>称：</w:t>
      </w:r>
      <w:r>
        <w:rPr>
          <w:rFonts w:hint="eastAsia" w:ascii="仿宋_GB2312" w:hAnsi="仿宋_GB2312" w:eastAsia="仿宋_GB2312" w:cs="仿宋_GB2312"/>
          <w:bCs/>
          <w:color w:val="auto"/>
          <w:kern w:val="0"/>
          <w:sz w:val="32"/>
          <w:szCs w:val="32"/>
          <w:lang w:val="en-US" w:eastAsia="zh-CN"/>
        </w:rPr>
        <w:t>一、被申请人在法定期限内依法处理申请人提交的举报事项行政行为程序合法、适用依据正确。</w:t>
      </w:r>
    </w:p>
    <w:p w14:paraId="043F5E16">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（一）举报件基本情况</w:t>
      </w:r>
    </w:p>
    <w:p w14:paraId="4380B636">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2025年7月22日，被申请人收到申请人通过12315平台提交的举报件，称：“我在抖音平台购买了一款儿童玩具照相机，打开之后塑料味刺鼻，质量非常差。儿童用品玩具，6岁及以上儿童玩具没有经过强制性产品认证。冒用3c标识。没有生产厂家、厂址等信息。销售不合格产品严重侵犯消费者的权益，要求根据《中华人民共和国消费者权益保护法》第55条维权！请贵局办案工作人员责令店铺负责人联系本人，三方配合处理，请贵局在法定时间内12315平台或者电话答复相关查案情况、处理结果。”当日，被申请人执法人员对该线索予以案源登记。</w:t>
      </w:r>
    </w:p>
    <w:p w14:paraId="7826DA16">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（二）举报件核查情况</w:t>
      </w:r>
    </w:p>
    <w:p w14:paraId="6305C16E">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2025年7月28日、2025年8月4日被申请人执法人员通过被举报人泉州市丰泽区某某玩具商行注册登记时预留的联系电话153****4841进行联系，均无法接通；2025年8月5日，被申请人执法人员对被举报人泉州市丰泽区某某玩具商行登记的经营场所福建省泉州市丰泽区**街**号**幢**室进行现场检查，现场检查发现被举报人泉州市丰泽区某某玩具商行未在该场所进行办公，通过住所无法取得联系，被申请人于2025年8月6日将被举报人标注异常。</w:t>
      </w:r>
    </w:p>
    <w:p w14:paraId="1B00D4DD">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因被申请人根据现有证据无法核实举报线索是否真实，无法核实被举报人是否存在违法行为，该举报件不符合《市场监督管理行政处罚程序规定》第十九条规定的立案条件，2025年8月6日，被申请人对该举报线索作出不予立案决定，并依据《市场监督管理投诉举报处理暂行办法》第三十一条第二款的规定，于当日通过12315平台告知申请人。同时，被申请人将该线索抄告抖音平台所在地市场监管局。</w:t>
      </w:r>
    </w:p>
    <w:p w14:paraId="50756BE5">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二、申请人提出的异议没有依据。</w:t>
      </w:r>
    </w:p>
    <w:p w14:paraId="5075A954">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申请人提出“程序违法，不能以找不到人不予立案进行案件终止”的问题，被申请人认为：被申请人收到申请人提交的举报件后，立即组织人员到被举报人登记住所进行检查，发现通过登记住所无法与被举报人取得联系。因根据现有证据无法核实举报线索是否真实，无法核实被举报人是否存在违法行为，无法判定该行为是否需要被行政处罚，不符合《市场监督管理行政处罚程序规定》第十九条规定的立案条件，被申请人作出不予立案决定并按期告知申请人，程序合法，事实清楚，适用法律正确。同时，被申请人依据《中华人民共和国电子商务法》第三十八条将该线索抄告抖音平台所在地市场监管局，被申请人已充分履行调查处理职责。</w:t>
      </w:r>
    </w:p>
    <w:p w14:paraId="75E20333">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三、申请人不具备行政复议资格</w:t>
      </w:r>
    </w:p>
    <w:p w14:paraId="6CA94711">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自12315平台开通以来，申请人共投诉87次、举报73次，被申请人认为，申请人的行为不符合常理，明显超过正常的消费需要，显然不属于为生活消费而购买商品或服务的消费者。申请人的行为符合《泉州市市场监督管理局规范处置恶意投诉举报行为规定》（泉市监规〔2023〕9号）第四点“（八）投诉举报的数量、信访数量、政府信息公开数量、相关行政复议和诉讼的数量有明显异常的”对恶意举报的认定，其举报内容不属于“合法权益遭受侵犯”；被申请人对申请人的举报事项经核查后作出的决定和答复，与申请人无利害关系，对申请人的合法权益不产生实际影响，故申请人不具备行政复议资格。</w:t>
      </w:r>
    </w:p>
    <w:p w14:paraId="5F771435">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综上，被申请人在法定期限内依法处理申请人提交的举报事项行政行为程序合法、适用依据正确，申请人提出的异议没有依据。请求复议机关依法驳回申请人的行政复议申请或者维持被申请人作出的不予立案决定。</w:t>
      </w:r>
    </w:p>
    <w:p w14:paraId="67A55A9B">
      <w:pPr>
        <w:keepNext w:val="0"/>
        <w:keepLines w:val="0"/>
        <w:pageBreakBefore w:val="0"/>
        <w:kinsoku/>
        <w:wordWrap w:val="0"/>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bCs w:val="0"/>
          <w:color w:val="auto"/>
          <w:kern w:val="0"/>
          <w:sz w:val="32"/>
          <w:szCs w:val="32"/>
          <w:highlight w:val="none"/>
          <w:u w:val="none"/>
          <w:lang w:val="en-US" w:eastAsia="zh-CN"/>
        </w:rPr>
        <w:t>经审理查明：</w:t>
      </w:r>
      <w:r>
        <w:rPr>
          <w:rFonts w:hint="eastAsia" w:ascii="仿宋_GB2312" w:hAnsi="仿宋_GB2312" w:eastAsia="仿宋_GB2312" w:cs="仿宋_GB2312"/>
          <w:bCs/>
          <w:color w:val="auto"/>
          <w:kern w:val="0"/>
          <w:sz w:val="32"/>
          <w:szCs w:val="32"/>
          <w:lang w:val="en-US" w:eastAsia="zh-CN"/>
        </w:rPr>
        <w:t>2025年7月22日，被申请人在全国12315平台收到申请人举报，举报内容：“我在抖音平台购买了一款儿童玩具照相机，打开之后塑料味刺鼻，质量非常差。儿童用品玩具，6岁及以上儿童玩具没有经过强制性产品认证。冒用3c标识等。请贵局执法人员依法查处！奖励。并在在法定时间内12315平台或者电话答复相关查案情况、处理结果。”同日，被申请人执法人员对该线索予以案源登记。</w:t>
      </w:r>
    </w:p>
    <w:p w14:paraId="32919A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Cs/>
          <w:color w:val="auto"/>
          <w:kern w:val="0"/>
          <w:sz w:val="32"/>
          <w:szCs w:val="32"/>
          <w:lang w:val="en-US" w:eastAsia="zh-CN"/>
        </w:rPr>
        <w:t>2025年7月28日、2025年8月4日，被申请人执法人员通过被举报人泉州市丰泽区某某玩具商行注册登记时预留的联系电话进行联系，均无法接通；2025年8月5日，被申请人执法人员对被举报人登记的经营场所进行现场检查，发现被举报人并未在该办公，通过住所亦无法与其取得联系；2025年8月6日，</w:t>
      </w:r>
      <w:r>
        <w:rPr>
          <w:rFonts w:hint="eastAsia" w:ascii="仿宋_GB2312" w:hAnsi="仿宋_GB2312" w:eastAsia="仿宋_GB2312" w:cs="仿宋_GB2312"/>
          <w:bCs/>
          <w:color w:val="auto"/>
          <w:kern w:val="0"/>
          <w:sz w:val="32"/>
          <w:szCs w:val="32"/>
          <w:highlight w:val="none"/>
          <w:lang w:val="en-US" w:eastAsia="zh-CN"/>
        </w:rPr>
        <w:t>被申请人</w:t>
      </w:r>
      <w:r>
        <w:rPr>
          <w:rFonts w:hint="eastAsia" w:ascii="仿宋_GB2312" w:hAnsi="仿宋_GB2312" w:eastAsia="仿宋_GB2312" w:cs="仿宋_GB2312"/>
          <w:b w:val="0"/>
          <w:bCs w:val="0"/>
          <w:color w:val="000000"/>
          <w:sz w:val="32"/>
          <w:szCs w:val="32"/>
          <w:highlight w:val="none"/>
        </w:rPr>
        <w:t>将被举报人列入经营异常名录。</w:t>
      </w:r>
    </w:p>
    <w:p w14:paraId="7157E734">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2025年8月6日，被申请人经调查认为被举报人通过登记住所及登记的联系电话均无法联系，违法事实无法核实，认定案涉举报事项不符合《市场监督管理行政处罚程序规定》第十九条第一款第一项规定的立案条件，作出不予立案决定。同日，被申请人通过全国12315平台告知申请人该不予立案决定。</w:t>
      </w:r>
    </w:p>
    <w:p w14:paraId="5D1C2E6A">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lang w:val="en-US" w:eastAsia="zh-CN"/>
        </w:rPr>
        <w:t>2025年8月10日，</w:t>
      </w:r>
      <w:r>
        <w:rPr>
          <w:rFonts w:hint="eastAsia" w:ascii="仿宋_GB2312" w:hAnsi="仿宋_GB2312" w:eastAsia="仿宋_GB2312" w:cs="仿宋_GB2312"/>
          <w:b w:val="0"/>
          <w:bCs w:val="0"/>
          <w:color w:val="000000"/>
          <w:sz w:val="32"/>
          <w:szCs w:val="32"/>
          <w:highlight w:val="none"/>
        </w:rPr>
        <w:t>被申请人将</w:t>
      </w:r>
      <w:r>
        <w:rPr>
          <w:rFonts w:hint="eastAsia" w:ascii="仿宋_GB2312" w:hAnsi="仿宋_GB2312" w:eastAsia="仿宋_GB2312" w:cs="仿宋_GB2312"/>
          <w:b w:val="0"/>
          <w:bCs w:val="0"/>
          <w:color w:val="000000"/>
          <w:sz w:val="32"/>
          <w:szCs w:val="32"/>
          <w:highlight w:val="none"/>
          <w:lang w:eastAsia="zh-CN"/>
        </w:rPr>
        <w:t>案涉</w:t>
      </w:r>
      <w:r>
        <w:rPr>
          <w:rFonts w:hint="eastAsia" w:ascii="仿宋_GB2312" w:hAnsi="仿宋_GB2312" w:eastAsia="仿宋_GB2312" w:cs="仿宋_GB2312"/>
          <w:b w:val="0"/>
          <w:bCs w:val="0"/>
          <w:color w:val="000000"/>
          <w:sz w:val="32"/>
          <w:szCs w:val="32"/>
          <w:highlight w:val="none"/>
        </w:rPr>
        <w:t>线索抄告</w:t>
      </w:r>
      <w:r>
        <w:rPr>
          <w:rFonts w:hint="eastAsia" w:ascii="仿宋_GB2312" w:hAnsi="仿宋_GB2312" w:eastAsia="仿宋_GB2312" w:cs="仿宋_GB2312"/>
          <w:bCs/>
          <w:color w:val="auto"/>
          <w:kern w:val="0"/>
          <w:sz w:val="32"/>
          <w:szCs w:val="32"/>
          <w:highlight w:val="none"/>
          <w:lang w:val="en-US" w:eastAsia="zh-CN"/>
        </w:rPr>
        <w:t>抖音电子平台</w:t>
      </w:r>
      <w:r>
        <w:rPr>
          <w:rFonts w:hint="eastAsia" w:ascii="仿宋_GB2312" w:hAnsi="仿宋_GB2312" w:eastAsia="仿宋_GB2312" w:cs="仿宋_GB2312"/>
          <w:b w:val="0"/>
          <w:bCs w:val="0"/>
          <w:color w:val="000000"/>
          <w:sz w:val="32"/>
          <w:szCs w:val="32"/>
          <w:highlight w:val="none"/>
        </w:rPr>
        <w:t>经营者住所地市场监管局。</w:t>
      </w:r>
    </w:p>
    <w:p w14:paraId="4A4C9729">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申请人不服被申请人作出的该不予立案决定，遂提起行政复议。</w:t>
      </w:r>
    </w:p>
    <w:p w14:paraId="7FECAB6D">
      <w:pPr>
        <w:pStyle w:val="5"/>
        <w:keepNext w:val="0"/>
        <w:keepLines w:val="0"/>
        <w:pageBreakBefore w:val="0"/>
        <w:kinsoku/>
        <w:wordWrap/>
        <w:overflowPunct/>
        <w:topLinePunct w:val="0"/>
        <w:autoSpaceDE/>
        <w:autoSpaceDN/>
        <w:bidi w:val="0"/>
        <w:adjustRightInd/>
        <w:snapToGrid/>
        <w:spacing w:after="0" w:line="600" w:lineRule="exact"/>
        <w:ind w:left="0" w:leftChars="0" w:firstLine="643" w:firstLineChars="200"/>
        <w:textAlignment w:val="auto"/>
        <w:rPr>
          <w:rFonts w:hint="eastAsia"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bCs w:val="0"/>
          <w:color w:val="auto"/>
          <w:kern w:val="0"/>
          <w:sz w:val="32"/>
          <w:szCs w:val="32"/>
          <w:highlight w:val="none"/>
          <w:u w:val="none"/>
          <w:lang w:val="en-US" w:eastAsia="zh-CN" w:bidi="ar-SA"/>
        </w:rPr>
        <w:t>上述事实有下列证据证明：</w:t>
      </w:r>
      <w:r>
        <w:rPr>
          <w:rFonts w:hint="eastAsia" w:ascii="仿宋_GB2312" w:hAnsi="仿宋_GB2312" w:eastAsia="仿宋_GB2312" w:cs="仿宋_GB2312"/>
          <w:b w:val="0"/>
          <w:bCs/>
          <w:color w:val="auto"/>
          <w:kern w:val="0"/>
          <w:sz w:val="32"/>
          <w:szCs w:val="32"/>
          <w:highlight w:val="none"/>
          <w:u w:val="none"/>
          <w:lang w:val="en-US" w:eastAsia="zh-CN" w:bidi="ar-SA"/>
        </w:rPr>
        <w:t>举报材料、案件来源登记表、不予立案审批表、现场笔录、现场检查照片、通话记录、异常名录管理系统页面截图、抄告函、全国12315平台系统截图等。</w:t>
      </w:r>
    </w:p>
    <w:p w14:paraId="1A6C573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bCs w:val="0"/>
          <w:color w:val="auto"/>
          <w:kern w:val="0"/>
          <w:sz w:val="32"/>
          <w:szCs w:val="32"/>
          <w:highlight w:val="none"/>
          <w:u w:val="none"/>
          <w:lang w:val="en-US" w:eastAsia="zh-CN"/>
        </w:rPr>
        <w:t>本机关认为：</w:t>
      </w:r>
      <w:r>
        <w:rPr>
          <w:rFonts w:hint="eastAsia" w:ascii="仿宋_GB2312" w:hAnsi="仿宋_GB2312" w:eastAsia="仿宋_GB2312" w:cs="仿宋_GB2312"/>
          <w:b/>
          <w:bCs w:val="0"/>
          <w:color w:val="auto"/>
          <w:kern w:val="0"/>
          <w:sz w:val="32"/>
          <w:szCs w:val="32"/>
          <w:highlight w:val="none"/>
          <w:u w:val="none"/>
          <w:lang w:val="en-US" w:eastAsia="zh-CN" w:bidi="ar-SA"/>
        </w:rPr>
        <w:t>一、职责方面。</w:t>
      </w:r>
      <w:r>
        <w:rPr>
          <w:rFonts w:hint="eastAsia" w:ascii="仿宋_GB2312" w:hAnsi="仿宋_GB2312" w:eastAsia="仿宋_GB2312" w:cs="仿宋_GB2312"/>
          <w:bCs/>
          <w:color w:val="000000"/>
          <w:kern w:val="0"/>
          <w:sz w:val="32"/>
          <w:szCs w:val="32"/>
        </w:rPr>
        <w:t>《市场监督管理投诉举报处理暂行办法》第四条第二款规定：“县级以上地方市场监督管理部门负责本行政区域内的投诉举报处理工作。”被申请人作为泉州市丰泽区的市场监督管理部门，具有对申请人举报事项作出处理的法定职权。</w:t>
      </w:r>
    </w:p>
    <w:p w14:paraId="726F1B37">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
          <w:bCs w:val="0"/>
          <w:color w:val="auto"/>
          <w:kern w:val="0"/>
          <w:sz w:val="32"/>
          <w:szCs w:val="32"/>
          <w:highlight w:val="none"/>
          <w:u w:val="none"/>
          <w:lang w:val="en-US" w:eastAsia="zh-CN" w:bidi="ar-SA"/>
        </w:rPr>
        <w:t>二、程序方面。</w:t>
      </w:r>
      <w:r>
        <w:rPr>
          <w:rFonts w:hint="eastAsia" w:ascii="仿宋_GB2312" w:hAnsi="仿宋_GB2312" w:eastAsia="仿宋_GB2312" w:cs="仿宋_GB2312"/>
          <w:bCs/>
          <w:color w:val="000000"/>
          <w:kern w:val="0"/>
          <w:sz w:val="32"/>
          <w:szCs w:val="32"/>
        </w:rPr>
        <w:t>依据《市场监督管理行政处罚程序规定》第十八条第一款</w:t>
      </w:r>
      <w:r>
        <w:rPr>
          <w:rFonts w:hint="eastAsia" w:ascii="仿宋_GB2312" w:hAnsi="仿宋_GB2312" w:eastAsia="仿宋_GB2312" w:cs="仿宋_GB2312"/>
          <w:bCs/>
          <w:color w:val="000000"/>
          <w:kern w:val="0"/>
          <w:sz w:val="32"/>
          <w:szCs w:val="32"/>
          <w:lang w:eastAsia="zh-CN"/>
        </w:rPr>
        <w:t>以及</w:t>
      </w:r>
      <w:r>
        <w:rPr>
          <w:rFonts w:hint="eastAsia" w:ascii="仿宋_GB2312" w:hAnsi="仿宋_GB2312" w:eastAsia="仿宋_GB2312" w:cs="仿宋_GB2312"/>
          <w:bCs/>
          <w:color w:val="000000"/>
          <w:kern w:val="0"/>
          <w:sz w:val="32"/>
          <w:szCs w:val="32"/>
        </w:rPr>
        <w:t>《市场监督管理投诉举报处理暂行办法》第三十一条的规定，</w:t>
      </w:r>
      <w:r>
        <w:rPr>
          <w:rFonts w:hint="eastAsia" w:ascii="仿宋_GB2312" w:hAnsi="仿宋_GB2312" w:eastAsia="仿宋_GB2312" w:cs="仿宋_GB2312"/>
          <w:bCs/>
          <w:color w:val="000000"/>
          <w:kern w:val="0"/>
          <w:sz w:val="32"/>
          <w:szCs w:val="32"/>
          <w:lang w:val="en-US" w:eastAsia="zh-CN"/>
        </w:rPr>
        <w:t>被申请人</w:t>
      </w:r>
      <w:r>
        <w:rPr>
          <w:rFonts w:hint="eastAsia" w:ascii="仿宋_GB2312" w:hAnsi="仿宋_GB2312" w:eastAsia="仿宋_GB2312" w:cs="仿宋_GB2312"/>
          <w:bCs/>
          <w:color w:val="000000"/>
          <w:kern w:val="0"/>
          <w:sz w:val="32"/>
          <w:szCs w:val="32"/>
        </w:rPr>
        <w:t>在法定时限内作出不予立案决定并</w:t>
      </w:r>
      <w:r>
        <w:rPr>
          <w:rFonts w:hint="eastAsia" w:ascii="仿宋_GB2312" w:hAnsi="仿宋_GB2312" w:eastAsia="仿宋_GB2312" w:cs="仿宋_GB2312"/>
          <w:bCs/>
          <w:color w:val="000000"/>
          <w:sz w:val="32"/>
          <w:szCs w:val="32"/>
        </w:rPr>
        <w:t>告知申请人，程序合法。</w:t>
      </w:r>
    </w:p>
    <w:p w14:paraId="5BB40BEE">
      <w:pPr>
        <w:keepNext w:val="0"/>
        <w:keepLines w:val="0"/>
        <w:widowControl w:val="0"/>
        <w:suppressLineNumbers w:val="0"/>
        <w:spacing w:before="0" w:beforeAutospacing="0" w:after="0" w:afterAutospacing="0" w:line="600" w:lineRule="exact"/>
        <w:ind w:left="0" w:right="0" w:firstLine="643" w:firstLineChars="200"/>
        <w:jc w:val="both"/>
        <w:rPr>
          <w:rFonts w:hint="default" w:ascii="仿宋_GB2312" w:hAnsi="仿宋_GB2312" w:eastAsia="仿宋_GB2312" w:cs="仿宋_GB2312"/>
          <w:b w:val="0"/>
          <w:bCs/>
          <w:color w:val="auto"/>
          <w:kern w:val="0"/>
          <w:sz w:val="32"/>
          <w:szCs w:val="32"/>
          <w:highlight w:val="none"/>
          <w:u w:val="none"/>
          <w:lang w:val="en-US" w:eastAsia="zh-CN" w:bidi="ar-SA"/>
        </w:rPr>
      </w:pPr>
      <w:r>
        <w:rPr>
          <w:rFonts w:hint="default" w:ascii="仿宋_GB2312" w:hAnsi="仿宋_GB2312" w:eastAsia="仿宋_GB2312" w:cs="仿宋_GB2312"/>
          <w:b/>
          <w:bCs w:val="0"/>
          <w:color w:val="auto"/>
          <w:kern w:val="0"/>
          <w:sz w:val="32"/>
          <w:szCs w:val="32"/>
          <w:highlight w:val="none"/>
          <w:u w:val="none"/>
          <w:lang w:val="en-US" w:eastAsia="zh-CN" w:bidi="ar-SA"/>
        </w:rPr>
        <w:t>三、事实认定与适用依据方面。</w:t>
      </w:r>
      <w:r>
        <w:rPr>
          <w:rFonts w:hint="default" w:ascii="仿宋_GB2312" w:hAnsi="仿宋_GB2312" w:eastAsia="仿宋_GB2312" w:cs="仿宋_GB2312"/>
          <w:b w:val="0"/>
          <w:bCs/>
          <w:color w:val="auto"/>
          <w:kern w:val="0"/>
          <w:sz w:val="32"/>
          <w:szCs w:val="32"/>
          <w:highlight w:val="none"/>
          <w:u w:val="none"/>
          <w:lang w:val="en-US" w:eastAsia="zh-CN" w:bidi="ar-SA"/>
        </w:rPr>
        <w:t>《企业经营异常名录管理暂行办法》第四条规定：“县级以上工商行政管理部门应当将有下列情形之一的企业列入经营异常名录：……（四）通过登记的住所或者经营场所无法联系的。”本案中，被申请人在收到申请人举报后，</w:t>
      </w:r>
      <w:r>
        <w:rPr>
          <w:rFonts w:hint="eastAsia" w:ascii="仿宋_GB2312" w:hAnsi="仿宋_GB2312" w:eastAsia="仿宋_GB2312" w:cs="仿宋_GB2312"/>
          <w:b w:val="0"/>
          <w:bCs/>
          <w:color w:val="auto"/>
          <w:kern w:val="0"/>
          <w:sz w:val="32"/>
          <w:szCs w:val="32"/>
          <w:highlight w:val="none"/>
          <w:u w:val="none"/>
          <w:lang w:val="en-US" w:eastAsia="zh-CN" w:bidi="ar-SA"/>
        </w:rPr>
        <w:t>多次通过</w:t>
      </w:r>
      <w:r>
        <w:rPr>
          <w:rFonts w:hint="default" w:ascii="仿宋_GB2312" w:hAnsi="仿宋_GB2312" w:eastAsia="仿宋_GB2312" w:cs="仿宋_GB2312"/>
          <w:b w:val="0"/>
          <w:bCs/>
          <w:color w:val="auto"/>
          <w:kern w:val="0"/>
          <w:sz w:val="32"/>
          <w:szCs w:val="32"/>
          <w:highlight w:val="none"/>
          <w:u w:val="none"/>
          <w:lang w:val="en-US" w:eastAsia="zh-CN" w:bidi="ar-SA"/>
        </w:rPr>
        <w:t>被举报人泉州市丰泽区</w:t>
      </w:r>
      <w:r>
        <w:rPr>
          <w:rFonts w:hint="eastAsia" w:ascii="仿宋_GB2312" w:hAnsi="仿宋_GB2312" w:eastAsia="仿宋_GB2312" w:cs="仿宋_GB2312"/>
          <w:b w:val="0"/>
          <w:bCs/>
          <w:color w:val="auto"/>
          <w:kern w:val="0"/>
          <w:sz w:val="32"/>
          <w:szCs w:val="32"/>
          <w:highlight w:val="none"/>
          <w:u w:val="none"/>
          <w:lang w:val="en-US" w:eastAsia="zh-CN" w:bidi="ar-SA"/>
        </w:rPr>
        <w:t>某某</w:t>
      </w:r>
      <w:r>
        <w:rPr>
          <w:rFonts w:hint="default" w:ascii="仿宋_GB2312" w:hAnsi="仿宋_GB2312" w:eastAsia="仿宋_GB2312" w:cs="仿宋_GB2312"/>
          <w:b w:val="0"/>
          <w:bCs/>
          <w:color w:val="auto"/>
          <w:kern w:val="0"/>
          <w:sz w:val="32"/>
          <w:szCs w:val="32"/>
          <w:highlight w:val="none"/>
          <w:u w:val="none"/>
          <w:lang w:val="en-US" w:eastAsia="zh-CN" w:bidi="ar-SA"/>
        </w:rPr>
        <w:t>玩具商行注册登记时预留的电话</w:t>
      </w:r>
      <w:r>
        <w:rPr>
          <w:rFonts w:hint="eastAsia" w:ascii="仿宋_GB2312" w:hAnsi="仿宋_GB2312" w:eastAsia="仿宋_GB2312" w:cs="仿宋_GB2312"/>
          <w:b w:val="0"/>
          <w:bCs/>
          <w:color w:val="auto"/>
          <w:kern w:val="0"/>
          <w:sz w:val="32"/>
          <w:szCs w:val="32"/>
          <w:highlight w:val="none"/>
          <w:u w:val="none"/>
          <w:lang w:val="en-US" w:eastAsia="zh-CN" w:bidi="ar-SA"/>
        </w:rPr>
        <w:t>进行联系，均无法接通；通过对被举报人</w:t>
      </w:r>
      <w:r>
        <w:rPr>
          <w:rFonts w:hint="default" w:ascii="仿宋_GB2312" w:hAnsi="仿宋_GB2312" w:eastAsia="仿宋_GB2312" w:cs="仿宋_GB2312"/>
          <w:b w:val="0"/>
          <w:bCs/>
          <w:color w:val="auto"/>
          <w:kern w:val="0"/>
          <w:sz w:val="32"/>
          <w:szCs w:val="32"/>
          <w:highlight w:val="none"/>
          <w:u w:val="none"/>
          <w:lang w:val="en-US" w:eastAsia="zh-CN" w:bidi="ar-SA"/>
        </w:rPr>
        <w:t>登记的经营场所进行现场检查，</w:t>
      </w:r>
      <w:r>
        <w:rPr>
          <w:rFonts w:hint="eastAsia" w:ascii="仿宋_GB2312" w:hAnsi="仿宋_GB2312" w:eastAsia="仿宋_GB2312" w:cs="仿宋_GB2312"/>
          <w:b w:val="0"/>
          <w:bCs/>
          <w:color w:val="auto"/>
          <w:kern w:val="0"/>
          <w:sz w:val="32"/>
          <w:szCs w:val="32"/>
          <w:highlight w:val="none"/>
          <w:u w:val="none"/>
          <w:lang w:val="en-US" w:eastAsia="zh-CN" w:bidi="ar-SA"/>
        </w:rPr>
        <w:t>亦</w:t>
      </w:r>
      <w:r>
        <w:rPr>
          <w:rFonts w:hint="default" w:ascii="仿宋_GB2312" w:hAnsi="仿宋_GB2312" w:eastAsia="仿宋_GB2312" w:cs="仿宋_GB2312"/>
          <w:b w:val="0"/>
          <w:bCs/>
          <w:color w:val="auto"/>
          <w:kern w:val="0"/>
          <w:sz w:val="32"/>
          <w:szCs w:val="32"/>
          <w:highlight w:val="none"/>
          <w:u w:val="none"/>
          <w:lang w:val="en-US" w:eastAsia="zh-CN" w:bidi="ar-SA"/>
        </w:rPr>
        <w:t>未见相关经营迹象</w:t>
      </w:r>
      <w:r>
        <w:rPr>
          <w:rFonts w:hint="eastAsia" w:ascii="仿宋_GB2312" w:hAnsi="仿宋_GB2312" w:eastAsia="仿宋_GB2312" w:cs="仿宋_GB2312"/>
          <w:b w:val="0"/>
          <w:bCs/>
          <w:color w:val="auto"/>
          <w:kern w:val="0"/>
          <w:sz w:val="32"/>
          <w:szCs w:val="32"/>
          <w:highlight w:val="none"/>
          <w:u w:val="none"/>
          <w:lang w:val="en-US" w:eastAsia="zh-CN" w:bidi="ar-SA"/>
        </w:rPr>
        <w:t>，</w:t>
      </w:r>
      <w:r>
        <w:rPr>
          <w:rFonts w:hint="default" w:ascii="仿宋_GB2312" w:hAnsi="仿宋_GB2312" w:eastAsia="仿宋_GB2312" w:cs="仿宋_GB2312"/>
          <w:b w:val="0"/>
          <w:bCs/>
          <w:color w:val="auto"/>
          <w:kern w:val="0"/>
          <w:sz w:val="32"/>
          <w:szCs w:val="32"/>
          <w:highlight w:val="none"/>
          <w:u w:val="none"/>
          <w:lang w:val="en-US" w:eastAsia="zh-CN" w:bidi="ar-SA"/>
        </w:rPr>
        <w:t>故被申请人于2025年</w:t>
      </w:r>
      <w:r>
        <w:rPr>
          <w:rFonts w:hint="eastAsia" w:ascii="仿宋_GB2312" w:hAnsi="仿宋_GB2312" w:eastAsia="仿宋_GB2312" w:cs="仿宋_GB2312"/>
          <w:b w:val="0"/>
          <w:bCs/>
          <w:color w:val="auto"/>
          <w:kern w:val="0"/>
          <w:sz w:val="32"/>
          <w:szCs w:val="32"/>
          <w:highlight w:val="none"/>
          <w:u w:val="none"/>
          <w:lang w:val="en-US" w:eastAsia="zh-CN" w:bidi="ar-SA"/>
        </w:rPr>
        <w:t>8</w:t>
      </w:r>
      <w:r>
        <w:rPr>
          <w:rFonts w:hint="default" w:ascii="仿宋_GB2312" w:hAnsi="仿宋_GB2312" w:eastAsia="仿宋_GB2312" w:cs="仿宋_GB2312"/>
          <w:b w:val="0"/>
          <w:bCs/>
          <w:color w:val="auto"/>
          <w:kern w:val="0"/>
          <w:sz w:val="32"/>
          <w:szCs w:val="32"/>
          <w:highlight w:val="none"/>
          <w:u w:val="none"/>
          <w:lang w:val="en-US" w:eastAsia="zh-CN" w:bidi="ar-SA"/>
        </w:rPr>
        <w:t>月</w:t>
      </w:r>
      <w:r>
        <w:rPr>
          <w:rFonts w:hint="eastAsia" w:ascii="仿宋_GB2312" w:hAnsi="仿宋_GB2312" w:eastAsia="仿宋_GB2312" w:cs="仿宋_GB2312"/>
          <w:b w:val="0"/>
          <w:bCs/>
          <w:color w:val="auto"/>
          <w:kern w:val="0"/>
          <w:sz w:val="32"/>
          <w:szCs w:val="32"/>
          <w:highlight w:val="none"/>
          <w:u w:val="none"/>
          <w:lang w:val="en-US" w:eastAsia="zh-CN" w:bidi="ar-SA"/>
        </w:rPr>
        <w:t>6</w:t>
      </w:r>
      <w:r>
        <w:rPr>
          <w:rFonts w:hint="default" w:ascii="仿宋_GB2312" w:hAnsi="仿宋_GB2312" w:eastAsia="仿宋_GB2312" w:cs="仿宋_GB2312"/>
          <w:b w:val="0"/>
          <w:bCs/>
          <w:color w:val="auto"/>
          <w:kern w:val="0"/>
          <w:sz w:val="32"/>
          <w:szCs w:val="32"/>
          <w:highlight w:val="none"/>
          <w:u w:val="none"/>
          <w:lang w:val="en-US" w:eastAsia="zh-CN" w:bidi="ar-SA"/>
        </w:rPr>
        <w:t>日依法将被举报人泉州市丰泽区</w:t>
      </w:r>
      <w:r>
        <w:rPr>
          <w:rFonts w:hint="eastAsia" w:ascii="仿宋_GB2312" w:hAnsi="仿宋_GB2312" w:eastAsia="仿宋_GB2312" w:cs="仿宋_GB2312"/>
          <w:b w:val="0"/>
          <w:bCs/>
          <w:color w:val="auto"/>
          <w:kern w:val="0"/>
          <w:sz w:val="32"/>
          <w:szCs w:val="32"/>
          <w:highlight w:val="none"/>
          <w:u w:val="none"/>
          <w:lang w:val="en-US" w:eastAsia="zh-CN" w:bidi="ar-SA"/>
        </w:rPr>
        <w:t>某某</w:t>
      </w:r>
      <w:r>
        <w:rPr>
          <w:rFonts w:hint="default" w:ascii="仿宋_GB2312" w:hAnsi="仿宋_GB2312" w:eastAsia="仿宋_GB2312" w:cs="仿宋_GB2312"/>
          <w:b w:val="0"/>
          <w:bCs/>
          <w:color w:val="auto"/>
          <w:kern w:val="0"/>
          <w:sz w:val="32"/>
          <w:szCs w:val="32"/>
          <w:highlight w:val="none"/>
          <w:u w:val="none"/>
          <w:lang w:val="en-US" w:eastAsia="zh-CN" w:bidi="ar-SA"/>
        </w:rPr>
        <w:t>玩具商行列入经营异常名录，事实清楚，适用依据正确。</w:t>
      </w:r>
    </w:p>
    <w:p w14:paraId="1297984F">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仿宋_GB2312" w:eastAsia="仿宋_GB2312" w:cs="仿宋_GB2312"/>
          <w:b w:val="0"/>
          <w:bCs/>
          <w:color w:val="auto"/>
          <w:kern w:val="0"/>
          <w:sz w:val="32"/>
          <w:szCs w:val="32"/>
          <w:highlight w:val="none"/>
          <w:u w:val="none"/>
          <w:lang w:val="en-US" w:eastAsia="zh-CN" w:bidi="ar-SA"/>
        </w:rPr>
      </w:pPr>
      <w:r>
        <w:rPr>
          <w:rFonts w:hint="default" w:ascii="仿宋_GB2312" w:hAnsi="仿宋_GB2312" w:eastAsia="仿宋_GB2312" w:cs="仿宋_GB2312"/>
          <w:b w:val="0"/>
          <w:bCs/>
          <w:color w:val="auto"/>
          <w:kern w:val="0"/>
          <w:sz w:val="32"/>
          <w:szCs w:val="32"/>
          <w:highlight w:val="none"/>
          <w:u w:val="none"/>
          <w:lang w:val="en-US" w:eastAsia="zh-CN" w:bidi="ar-SA"/>
        </w:rPr>
        <w:t>《市场监督管理行政处罚程序规定》第十九条：“经核查，符合下列条件的，应当立案：（一）有证据初步证明存在违反市场监督管理法律、法规、规章的行为……”本案中，被申请人对申请人举报事项依法核查，因通过登记住所和</w:t>
      </w:r>
      <w:bookmarkStart w:id="0" w:name="_GoBack"/>
      <w:bookmarkEnd w:id="0"/>
      <w:r>
        <w:rPr>
          <w:rFonts w:hint="default" w:ascii="仿宋_GB2312" w:hAnsi="仿宋_GB2312" w:eastAsia="仿宋_GB2312" w:cs="仿宋_GB2312"/>
          <w:b w:val="0"/>
          <w:bCs/>
          <w:color w:val="auto"/>
          <w:kern w:val="0"/>
          <w:sz w:val="32"/>
          <w:szCs w:val="32"/>
          <w:highlight w:val="none"/>
          <w:u w:val="none"/>
          <w:lang w:val="en-US" w:eastAsia="zh-CN" w:bidi="ar-SA"/>
        </w:rPr>
        <w:t>登记电话均无法与被举报人取得联系，相关举报线索无法予以核实，</w:t>
      </w:r>
      <w:r>
        <w:rPr>
          <w:rFonts w:hint="eastAsia" w:ascii="仿宋_GB2312" w:hAnsi="仿宋_GB2312" w:eastAsia="仿宋_GB2312" w:cs="仿宋_GB2312"/>
          <w:b w:val="0"/>
          <w:bCs/>
          <w:color w:val="auto"/>
          <w:kern w:val="0"/>
          <w:sz w:val="32"/>
          <w:szCs w:val="32"/>
          <w:highlight w:val="none"/>
          <w:u w:val="none"/>
          <w:lang w:val="en-US" w:eastAsia="zh-CN" w:bidi="ar-SA"/>
        </w:rPr>
        <w:t xml:space="preserve">                                                                                         </w:t>
      </w:r>
      <w:r>
        <w:rPr>
          <w:rFonts w:hint="default" w:ascii="仿宋_GB2312" w:hAnsi="仿宋_GB2312" w:eastAsia="仿宋_GB2312" w:cs="仿宋_GB2312"/>
          <w:b w:val="0"/>
          <w:bCs/>
          <w:color w:val="auto"/>
          <w:kern w:val="0"/>
          <w:sz w:val="32"/>
          <w:szCs w:val="32"/>
          <w:highlight w:val="none"/>
          <w:u w:val="none"/>
          <w:lang w:val="en-US" w:eastAsia="zh-CN" w:bidi="ar-SA"/>
        </w:rPr>
        <w:t>认定案涉举报不符合《市场监督管理行政处罚程序规定》第十九条第一款第一项规定的立案条件，作出不予立案决定事实清楚，</w:t>
      </w:r>
      <w:r>
        <w:rPr>
          <w:rFonts w:hint="eastAsia" w:ascii="仿宋_GB2312" w:hAnsi="仿宋_GB2312" w:eastAsia="仿宋_GB2312" w:cs="仿宋_GB2312"/>
          <w:b w:val="0"/>
          <w:bCs/>
          <w:color w:val="auto"/>
          <w:kern w:val="0"/>
          <w:sz w:val="32"/>
          <w:szCs w:val="32"/>
          <w:highlight w:val="none"/>
          <w:u w:val="none"/>
          <w:lang w:val="en-US" w:eastAsia="zh-CN" w:bidi="ar-SA"/>
        </w:rPr>
        <w:t>证据确凿，</w:t>
      </w:r>
      <w:r>
        <w:rPr>
          <w:rFonts w:hint="default" w:ascii="仿宋_GB2312" w:hAnsi="仿宋_GB2312" w:eastAsia="仿宋_GB2312" w:cs="仿宋_GB2312"/>
          <w:b w:val="0"/>
          <w:bCs/>
          <w:color w:val="auto"/>
          <w:kern w:val="0"/>
          <w:sz w:val="32"/>
          <w:szCs w:val="32"/>
          <w:highlight w:val="none"/>
          <w:u w:val="none"/>
          <w:lang w:val="en-US" w:eastAsia="zh-CN" w:bidi="ar-SA"/>
        </w:rPr>
        <w:t>适用依据正确。</w:t>
      </w:r>
    </w:p>
    <w:p w14:paraId="429DEFDA">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仿宋_GB2312" w:eastAsia="仿宋_GB2312" w:cs="仿宋_GB2312"/>
          <w:b w:val="0"/>
          <w:bCs/>
          <w:color w:val="auto"/>
          <w:kern w:val="0"/>
          <w:sz w:val="32"/>
          <w:szCs w:val="32"/>
          <w:highlight w:val="none"/>
          <w:u w:val="none"/>
          <w:lang w:val="en-US" w:eastAsia="zh-CN" w:bidi="ar-SA"/>
        </w:rPr>
      </w:pPr>
      <w:r>
        <w:rPr>
          <w:rFonts w:hint="default" w:ascii="仿宋_GB2312" w:hAnsi="仿宋_GB2312" w:eastAsia="仿宋_GB2312" w:cs="仿宋_GB2312"/>
          <w:b w:val="0"/>
          <w:bCs/>
          <w:color w:val="auto"/>
          <w:kern w:val="0"/>
          <w:sz w:val="32"/>
          <w:szCs w:val="32"/>
          <w:highlight w:val="none"/>
          <w:u w:val="none"/>
          <w:lang w:val="en-US" w:eastAsia="zh-CN" w:bidi="ar-SA"/>
        </w:rPr>
        <w:t>综上，被申请人就申请人举报事项作出的不予立案决定事实清楚，证据确凿，适用依据正确，程序合法，内容适当。</w:t>
      </w:r>
    </w:p>
    <w:p w14:paraId="7B78583B">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依照</w:t>
      </w:r>
      <w:r>
        <w:rPr>
          <w:rFonts w:hint="default" w:ascii="仿宋_GB2312" w:hAnsi="仿宋_GB2312" w:eastAsia="仿宋_GB2312" w:cs="仿宋_GB2312"/>
          <w:b w:val="0"/>
          <w:bCs/>
          <w:color w:val="auto"/>
          <w:kern w:val="0"/>
          <w:sz w:val="32"/>
          <w:szCs w:val="32"/>
          <w:highlight w:val="none"/>
          <w:u w:val="none"/>
          <w:lang w:val="en-US" w:eastAsia="zh-CN" w:bidi="ar-SA"/>
        </w:rPr>
        <w:t>《中华人民共和国行政复议法》第六十八条规定，本机关决定如下：</w:t>
      </w:r>
    </w:p>
    <w:p w14:paraId="6DF3A0D8">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仿宋_GB2312" w:eastAsia="仿宋_GB2312" w:cs="仿宋_GB2312"/>
          <w:b w:val="0"/>
          <w:bCs/>
          <w:color w:val="auto"/>
          <w:kern w:val="0"/>
          <w:sz w:val="32"/>
          <w:szCs w:val="32"/>
          <w:highlight w:val="none"/>
          <w:u w:val="none"/>
          <w:lang w:val="en-US" w:eastAsia="zh-CN" w:bidi="ar-SA"/>
        </w:rPr>
      </w:pPr>
      <w:r>
        <w:rPr>
          <w:rFonts w:hint="default" w:ascii="仿宋_GB2312" w:hAnsi="仿宋_GB2312" w:eastAsia="仿宋_GB2312" w:cs="仿宋_GB2312"/>
          <w:b w:val="0"/>
          <w:bCs/>
          <w:color w:val="auto"/>
          <w:kern w:val="0"/>
          <w:sz w:val="32"/>
          <w:szCs w:val="32"/>
          <w:highlight w:val="none"/>
          <w:u w:val="none"/>
          <w:lang w:val="en-US" w:eastAsia="zh-CN" w:bidi="ar-SA"/>
        </w:rPr>
        <w:t>维持被申请人泉州市丰泽区市场监督管理局就申请人</w:t>
      </w:r>
      <w:r>
        <w:rPr>
          <w:rFonts w:hint="eastAsia" w:ascii="仿宋_GB2312" w:hAnsi="仿宋_GB2312" w:eastAsia="仿宋_GB2312" w:cs="仿宋_GB2312"/>
          <w:b w:val="0"/>
          <w:bCs/>
          <w:color w:val="auto"/>
          <w:kern w:val="0"/>
          <w:sz w:val="32"/>
          <w:szCs w:val="32"/>
          <w:highlight w:val="none"/>
          <w:u w:val="none"/>
          <w:lang w:val="en-US" w:eastAsia="zh-CN" w:bidi="ar-SA"/>
        </w:rPr>
        <w:t>黄某</w:t>
      </w:r>
      <w:r>
        <w:rPr>
          <w:rFonts w:hint="default" w:ascii="仿宋_GB2312" w:hAnsi="仿宋_GB2312" w:eastAsia="仿宋_GB2312" w:cs="仿宋_GB2312"/>
          <w:b w:val="0"/>
          <w:bCs/>
          <w:color w:val="auto"/>
          <w:kern w:val="0"/>
          <w:sz w:val="32"/>
          <w:szCs w:val="32"/>
          <w:highlight w:val="none"/>
          <w:u w:val="none"/>
          <w:lang w:val="en-US" w:eastAsia="zh-CN" w:bidi="ar-SA"/>
        </w:rPr>
        <w:t>举报事项作出的不予立案决定。</w:t>
      </w:r>
    </w:p>
    <w:p w14:paraId="420CD0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bidi="ar"/>
        </w:rPr>
        <w:t>申请人如不服本决定，可自收到本</w:t>
      </w:r>
      <w:r>
        <w:rPr>
          <w:rFonts w:hint="eastAsia" w:ascii="仿宋_GB2312" w:hAnsi="仿宋_GB2312" w:eastAsia="仿宋_GB2312" w:cs="仿宋_GB2312"/>
          <w:bCs/>
          <w:color w:val="auto"/>
          <w:sz w:val="32"/>
          <w:szCs w:val="32"/>
          <w:u w:val="none"/>
          <w:lang w:eastAsia="zh-CN" w:bidi="ar"/>
        </w:rPr>
        <w:t>决定书</w:t>
      </w:r>
      <w:r>
        <w:rPr>
          <w:rFonts w:hint="eastAsia" w:ascii="仿宋_GB2312" w:hAnsi="仿宋_GB2312" w:eastAsia="仿宋_GB2312" w:cs="仿宋_GB2312"/>
          <w:bCs/>
          <w:color w:val="auto"/>
          <w:sz w:val="32"/>
          <w:szCs w:val="32"/>
          <w:u w:val="none"/>
          <w:lang w:bidi="ar"/>
        </w:rPr>
        <w:t>之日起15日内依法向</w:t>
      </w:r>
      <w:r>
        <w:rPr>
          <w:rFonts w:hint="eastAsia" w:ascii="仿宋_GB2312" w:hAnsi="仿宋_GB2312" w:eastAsia="仿宋_GB2312" w:cs="仿宋_GB2312"/>
          <w:bCs/>
          <w:color w:val="auto"/>
          <w:sz w:val="32"/>
          <w:szCs w:val="32"/>
          <w:u w:val="none"/>
          <w:lang w:val="en-US" w:eastAsia="zh-CN" w:bidi="ar"/>
        </w:rPr>
        <w:t>有管辖权的</w:t>
      </w:r>
      <w:r>
        <w:rPr>
          <w:rFonts w:hint="eastAsia" w:ascii="仿宋_GB2312" w:hAnsi="仿宋_GB2312" w:eastAsia="仿宋_GB2312" w:cs="仿宋_GB2312"/>
          <w:bCs/>
          <w:color w:val="auto"/>
          <w:sz w:val="32"/>
          <w:szCs w:val="32"/>
          <w:u w:val="none"/>
          <w:lang w:bidi="ar"/>
        </w:rPr>
        <w:t>人民法院提起行政诉讼。</w:t>
      </w:r>
    </w:p>
    <w:p w14:paraId="65B997CF">
      <w:pPr>
        <w:pStyle w:val="5"/>
        <w:keepNext w:val="0"/>
        <w:keepLines w:val="0"/>
        <w:pageBreakBefore w:val="0"/>
        <w:kinsoku/>
        <w:wordWrap/>
        <w:overflowPunct/>
        <w:topLinePunct w:val="0"/>
        <w:autoSpaceDE/>
        <w:autoSpaceDN/>
        <w:bidi w:val="0"/>
        <w:adjustRightInd/>
        <w:spacing w:after="0" w:line="579" w:lineRule="exact"/>
        <w:ind w:left="0" w:leftChars="0" w:firstLine="0" w:firstLineChars="0"/>
        <w:textAlignment w:val="auto"/>
        <w:rPr>
          <w:rFonts w:hint="eastAsia" w:ascii="仿宋_GB2312" w:hAnsi="仿宋_GB2312" w:eastAsia="仿宋_GB2312" w:cs="仿宋_GB2312"/>
          <w:sz w:val="32"/>
          <w:szCs w:val="32"/>
          <w:u w:val="none"/>
        </w:rPr>
      </w:pPr>
    </w:p>
    <w:p w14:paraId="02BAA48A">
      <w:pPr>
        <w:pStyle w:val="5"/>
        <w:keepNext w:val="0"/>
        <w:keepLines w:val="0"/>
        <w:pageBreakBefore w:val="0"/>
        <w:kinsoku/>
        <w:wordWrap/>
        <w:overflowPunct/>
        <w:topLinePunct w:val="0"/>
        <w:autoSpaceDE/>
        <w:autoSpaceDN/>
        <w:bidi w:val="0"/>
        <w:adjustRightInd/>
        <w:spacing w:after="0" w:line="579" w:lineRule="exact"/>
        <w:ind w:left="0" w:leftChars="0" w:firstLine="0" w:firstLineChars="0"/>
        <w:textAlignment w:val="auto"/>
        <w:rPr>
          <w:rFonts w:hint="eastAsia" w:ascii="仿宋_GB2312" w:hAnsi="仿宋_GB2312" w:eastAsia="仿宋_GB2312" w:cs="仿宋_GB2312"/>
          <w:sz w:val="32"/>
          <w:szCs w:val="32"/>
          <w:u w:val="none"/>
        </w:rPr>
      </w:pPr>
    </w:p>
    <w:p w14:paraId="2D7AE8FF">
      <w:pPr>
        <w:keepNext w:val="0"/>
        <w:keepLines w:val="0"/>
        <w:pageBreakBefore w:val="0"/>
        <w:widowControl w:val="0"/>
        <w:kinsoku/>
        <w:wordWrap/>
        <w:overflowPunct/>
        <w:topLinePunct w:val="0"/>
        <w:autoSpaceDE/>
        <w:autoSpaceDN/>
        <w:bidi w:val="0"/>
        <w:adjustRightInd/>
        <w:snapToGrid/>
        <w:spacing w:line="579" w:lineRule="exact"/>
        <w:ind w:firstLine="4160" w:firstLineChars="1300"/>
        <w:textAlignment w:val="auto"/>
        <w:rPr>
          <w:rFonts w:hint="eastAsia" w:ascii="仿宋_GB2312" w:hAnsi="仿宋_GB2312" w:eastAsia="仿宋_GB2312" w:cs="仿宋_GB2312"/>
          <w:b w:val="0"/>
          <w:bCs/>
          <w:color w:val="auto"/>
          <w:sz w:val="32"/>
          <w:szCs w:val="32"/>
          <w:u w:val="none"/>
        </w:rPr>
      </w:pPr>
      <w:r>
        <w:rPr>
          <w:rFonts w:hint="eastAsia" w:ascii="仿宋_GB2312" w:hAnsi="仿宋_GB2312" w:eastAsia="仿宋_GB2312" w:cs="仿宋_GB2312"/>
          <w:b w:val="0"/>
          <w:bCs/>
          <w:color w:val="auto"/>
          <w:sz w:val="32"/>
          <w:szCs w:val="32"/>
          <w:u w:val="none"/>
        </w:rPr>
        <w:t>泉州市丰泽区人民政府</w:t>
      </w:r>
    </w:p>
    <w:p w14:paraId="48159069">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b w:val="0"/>
          <w:bCs/>
          <w:color w:val="auto"/>
          <w:sz w:val="32"/>
          <w:szCs w:val="32"/>
          <w:u w:val="none"/>
        </w:rPr>
      </w:pPr>
      <w:r>
        <w:rPr>
          <w:rFonts w:hint="eastAsia" w:ascii="仿宋_GB2312" w:hAnsi="仿宋_GB2312" w:eastAsia="仿宋_GB2312" w:cs="仿宋_GB2312"/>
          <w:b w:val="0"/>
          <w:bCs/>
          <w:color w:val="auto"/>
          <w:sz w:val="32"/>
          <w:szCs w:val="32"/>
          <w:u w:val="none"/>
        </w:rPr>
        <w:t xml:space="preserve">                        </w:t>
      </w:r>
      <w:r>
        <w:rPr>
          <w:rFonts w:hint="eastAsia" w:ascii="仿宋_GB2312" w:hAnsi="仿宋_GB2312" w:eastAsia="仿宋_GB2312" w:cs="仿宋_GB2312"/>
          <w:b w:val="0"/>
          <w:bCs/>
          <w:color w:val="auto"/>
          <w:sz w:val="32"/>
          <w:szCs w:val="32"/>
          <w:u w:val="none"/>
          <w:lang w:val="en-US" w:eastAsia="zh-CN"/>
        </w:rPr>
        <w:t xml:space="preserve"> </w:t>
      </w:r>
      <w:r>
        <w:rPr>
          <w:rFonts w:hint="eastAsia" w:ascii="仿宋_GB2312" w:hAnsi="仿宋_GB2312" w:eastAsia="仿宋_GB2312" w:cs="仿宋_GB2312"/>
          <w:b w:val="0"/>
          <w:bCs/>
          <w:color w:val="auto"/>
          <w:sz w:val="32"/>
          <w:szCs w:val="32"/>
          <w:u w:val="none"/>
        </w:rPr>
        <w:t xml:space="preserve"> </w:t>
      </w:r>
      <w:r>
        <w:rPr>
          <w:rFonts w:hint="eastAsia" w:ascii="仿宋_GB2312" w:hAnsi="仿宋_GB2312" w:eastAsia="仿宋_GB2312" w:cs="仿宋_GB2312"/>
          <w:b w:val="0"/>
          <w:bCs/>
          <w:color w:val="auto"/>
          <w:sz w:val="32"/>
          <w:szCs w:val="32"/>
          <w:u w:val="none"/>
          <w:lang w:val="en-US" w:eastAsia="zh-CN"/>
        </w:rPr>
        <w:t xml:space="preserve">   2025</w:t>
      </w:r>
      <w:r>
        <w:rPr>
          <w:rFonts w:hint="eastAsia" w:ascii="仿宋_GB2312" w:hAnsi="仿宋_GB2312" w:eastAsia="仿宋_GB2312" w:cs="仿宋_GB2312"/>
          <w:b w:val="0"/>
          <w:bCs/>
          <w:color w:val="auto"/>
          <w:sz w:val="32"/>
          <w:szCs w:val="32"/>
          <w:u w:val="none"/>
        </w:rPr>
        <w:t>年</w:t>
      </w:r>
      <w:r>
        <w:rPr>
          <w:rFonts w:hint="eastAsia" w:ascii="仿宋_GB2312" w:hAnsi="仿宋_GB2312" w:eastAsia="仿宋_GB2312" w:cs="仿宋_GB2312"/>
          <w:b w:val="0"/>
          <w:bCs/>
          <w:color w:val="auto"/>
          <w:sz w:val="32"/>
          <w:szCs w:val="32"/>
          <w:u w:val="none"/>
          <w:lang w:val="en-US" w:eastAsia="zh-CN"/>
        </w:rPr>
        <w:t>10</w:t>
      </w:r>
      <w:r>
        <w:rPr>
          <w:rFonts w:hint="eastAsia" w:ascii="仿宋_GB2312" w:hAnsi="仿宋_GB2312" w:eastAsia="仿宋_GB2312" w:cs="仿宋_GB2312"/>
          <w:b w:val="0"/>
          <w:bCs/>
          <w:color w:val="auto"/>
          <w:sz w:val="32"/>
          <w:szCs w:val="32"/>
          <w:u w:val="none"/>
        </w:rPr>
        <w:t>月</w:t>
      </w:r>
      <w:r>
        <w:rPr>
          <w:rFonts w:hint="eastAsia" w:ascii="仿宋_GB2312" w:hAnsi="仿宋_GB2312" w:eastAsia="仿宋_GB2312" w:cs="仿宋_GB2312"/>
          <w:b w:val="0"/>
          <w:bCs/>
          <w:color w:val="auto"/>
          <w:sz w:val="32"/>
          <w:szCs w:val="32"/>
          <w:u w:val="none"/>
          <w:lang w:val="en-US" w:eastAsia="zh-CN"/>
        </w:rPr>
        <w:t>21</w:t>
      </w:r>
      <w:r>
        <w:rPr>
          <w:rFonts w:hint="eastAsia" w:ascii="仿宋_GB2312" w:hAnsi="仿宋_GB2312" w:eastAsia="仿宋_GB2312" w:cs="仿宋_GB2312"/>
          <w:b w:val="0"/>
          <w:bCs/>
          <w:color w:val="auto"/>
          <w:sz w:val="32"/>
          <w:szCs w:val="32"/>
          <w:u w:val="none"/>
        </w:rPr>
        <w:t>日</w:t>
      </w:r>
    </w:p>
    <w:p w14:paraId="59B427F4">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28"/>
          <w:szCs w:val="28"/>
          <w:u w:val="none"/>
        </w:rPr>
        <w:sectPr>
          <w:footerReference r:id="rId3" w:type="default"/>
          <w:footerReference r:id="rId4" w:type="even"/>
          <w:pgSz w:w="11906" w:h="16838"/>
          <w:pgMar w:top="1327" w:right="1689" w:bottom="1327" w:left="1689" w:header="851" w:footer="992" w:gutter="0"/>
          <w:pgNumType w:fmt="decimal" w:start="1"/>
          <w:cols w:space="720" w:num="1"/>
          <w:titlePg/>
          <w:docGrid w:type="lines" w:linePitch="312" w:charSpace="0"/>
        </w:sectPr>
      </w:pPr>
    </w:p>
    <w:p w14:paraId="19C29CC7">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（附）本案引用的部分法律条文：</w:t>
      </w:r>
    </w:p>
    <w:p w14:paraId="5E0A59E5">
      <w:pPr>
        <w:keepNext w:val="0"/>
        <w:keepLines w:val="0"/>
        <w:pageBreakBefore w:val="0"/>
        <w:widowControl/>
        <w:kinsoku/>
        <w:wordWrap/>
        <w:overflowPunct/>
        <w:topLinePunct w:val="0"/>
        <w:autoSpaceDE/>
        <w:autoSpaceDN/>
        <w:bidi w:val="0"/>
        <w:adjustRightInd/>
        <w:snapToGrid/>
        <w:spacing w:line="360" w:lineRule="exact"/>
        <w:ind w:firstLine="54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sz w:val="28"/>
          <w:szCs w:val="28"/>
        </w:rPr>
        <w:t>《中华人民共和国行政复议法》（2023年修订）</w:t>
      </w:r>
    </w:p>
    <w:p w14:paraId="653BFD79">
      <w:pPr>
        <w:pStyle w:val="5"/>
        <w:keepNext w:val="0"/>
        <w:keepLines w:val="0"/>
        <w:pageBreakBefore w:val="0"/>
        <w:widowControl w:val="0"/>
        <w:kinsoku/>
        <w:wordWrap/>
        <w:overflowPunct/>
        <w:topLinePunct w:val="0"/>
        <w:autoSpaceDE/>
        <w:autoSpaceDN/>
        <w:bidi w:val="0"/>
        <w:adjustRightInd/>
        <w:snapToGrid/>
        <w:spacing w:after="0" w:line="360" w:lineRule="exact"/>
        <w:ind w:firstLine="562"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lang w:val="en-US" w:eastAsia="zh-CN" w:bidi="ar-SA"/>
        </w:rPr>
        <w:t>第六十八条</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行政行为认定事实清楚，证据确凿，适用依据正确，程序合法，内容适当的，行政复议机关决定维持该行政行为。</w:t>
      </w:r>
    </w:p>
    <w:p w14:paraId="1901218E">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p>
    <w:p w14:paraId="47453BFD">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《市场监督管理投诉举报处理暂行办法》</w:t>
      </w:r>
    </w:p>
    <w:p w14:paraId="707E4AA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left"/>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第三十一条</w:t>
      </w:r>
      <w:r>
        <w:rPr>
          <w:rFonts w:hint="eastAsia" w:ascii="仿宋_GB2312" w:hAnsi="仿宋_GB2312" w:eastAsia="仿宋_GB2312" w:cs="仿宋_GB2312"/>
          <w:b w:val="0"/>
          <w:bCs w:val="0"/>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lang w:val="en-US" w:eastAsia="zh-CN"/>
        </w:rPr>
        <w:t>市场监督管理部门应当按照市场监督管理行政处罚等有关规定处理举报。举报人实名举报的，有处理权限的市场监督管理部门还应当自作出是否立案决定之日起五个工作日内告知举报人。</w:t>
      </w:r>
    </w:p>
    <w:p w14:paraId="1E2D9C8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left"/>
        <w:textAlignment w:val="auto"/>
        <w:outlineLvl w:val="9"/>
        <w:rPr>
          <w:rFonts w:hint="eastAsia" w:ascii="仿宋_GB2312" w:hAnsi="仿宋_GB2312" w:eastAsia="仿宋_GB2312" w:cs="仿宋_GB2312"/>
          <w:b/>
          <w:bCs/>
          <w:color w:val="000000"/>
          <w:sz w:val="28"/>
          <w:szCs w:val="28"/>
          <w:lang w:val="en-US" w:eastAsia="zh-CN"/>
        </w:rPr>
      </w:pPr>
    </w:p>
    <w:p w14:paraId="4220E481">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《市场监督管理行政处罚程序规定》</w:t>
      </w:r>
    </w:p>
    <w:p w14:paraId="3B5837B3">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2" w:firstLineChars="200"/>
        <w:jc w:val="left"/>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第十八条</w:t>
      </w:r>
      <w:r>
        <w:rPr>
          <w:rFonts w:hint="eastAsia" w:ascii="仿宋_GB2312" w:hAnsi="仿宋_GB2312" w:eastAsia="仿宋_GB2312" w:cs="仿宋_GB2312"/>
          <w:b w:val="0"/>
          <w:bCs w:val="0"/>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lang w:val="en-US" w:eastAsia="zh-CN"/>
        </w:rPr>
        <w:t xml:space="preserve"> 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p>
    <w:p w14:paraId="35F9EE45">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检测、检验、检疫、鉴定以及权利人辨认或者鉴别等所需时间，不计入前款规定期限。</w:t>
      </w:r>
    </w:p>
    <w:p w14:paraId="700D1441">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2" w:firstLineChars="200"/>
        <w:jc w:val="left"/>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第十九条</w:t>
      </w:r>
      <w:r>
        <w:rPr>
          <w:rFonts w:hint="eastAsia" w:ascii="仿宋_GB2312" w:hAnsi="仿宋_GB2312" w:eastAsia="仿宋_GB2312" w:cs="仿宋_GB2312"/>
          <w:color w:val="000000"/>
          <w:kern w:val="0"/>
          <w:sz w:val="28"/>
          <w:szCs w:val="28"/>
          <w:lang w:val="en-US" w:eastAsia="zh-CN"/>
        </w:rPr>
        <w:t xml:space="preserve">  经核查，符合下列条件的，应当立案：</w:t>
      </w:r>
    </w:p>
    <w:p w14:paraId="2624DAA5">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（一）有证据初步证明存在违反市场监督管理法律、法规、规章的行为；</w:t>
      </w:r>
    </w:p>
    <w:p w14:paraId="7B5C416F">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（二）依据市场监督管理法律、法规、规章应当给予行政处罚；</w:t>
      </w:r>
    </w:p>
    <w:p w14:paraId="1DE42840">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（三）属于本部门管辖；</w:t>
      </w:r>
    </w:p>
    <w:p w14:paraId="12692EFB">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（四）在给予行政处罚的法定期限内。</w:t>
      </w:r>
    </w:p>
    <w:p w14:paraId="19DAF96A">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0" w:firstLineChars="200"/>
        <w:jc w:val="left"/>
        <w:textAlignment w:val="auto"/>
        <w:outlineLvl w:val="9"/>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决定立案的，应当填写立案审批表，由办案机构负责人指定两名以上具有行政执法资格的办案人员负责调查处理。</w:t>
      </w:r>
    </w:p>
    <w:p w14:paraId="39B48B24">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仿宋_GB2312" w:hAnsi="仿宋_GB2312" w:eastAsia="仿宋_GB2312" w:cs="仿宋_GB2312"/>
          <w:b/>
          <w:bCs/>
          <w:color w:val="000000"/>
          <w:sz w:val="28"/>
          <w:szCs w:val="28"/>
          <w:lang w:val="en-US" w:eastAsia="zh-CN"/>
        </w:rPr>
      </w:pPr>
    </w:p>
    <w:p w14:paraId="6CCE8311">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《企业经营异常名录管理暂行办法》</w:t>
      </w:r>
    </w:p>
    <w:p w14:paraId="70E3875D">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2" w:firstLineChars="200"/>
        <w:jc w:val="left"/>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第四条</w:t>
      </w:r>
      <w:r>
        <w:rPr>
          <w:rFonts w:hint="eastAsia" w:ascii="仿宋_GB2312" w:hAnsi="仿宋_GB2312" w:eastAsia="仿宋_GB2312" w:cs="仿宋_GB2312"/>
          <w:b w:val="0"/>
          <w:bCs w:val="0"/>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lang w:val="en-US" w:eastAsia="zh-CN"/>
        </w:rPr>
        <w:t xml:space="preserve"> 县级以上工商行政管理部门应当将有下列情形之一的企业列入经营异常名录：</w:t>
      </w:r>
    </w:p>
    <w:p w14:paraId="07113791">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（一）未按照《企业信息公示暂行条例》第八条规定的期限公示年度报告的；</w:t>
      </w:r>
    </w:p>
    <w:p w14:paraId="4A736674">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（二）未在工商行政管理部门依照《企业信息公示暂行条例》第十条规定责令的期限内公示有关企业信息的；</w:t>
      </w:r>
    </w:p>
    <w:p w14:paraId="7A2BF4DA">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（三）公示企业信息隐瞒真实情况、弄虚作假的；</w:t>
      </w:r>
    </w:p>
    <w:p w14:paraId="02C851DB">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（四）通过登记的住所或者经营场所无法联系的。</w:t>
      </w:r>
    </w:p>
    <w:p w14:paraId="0B15A977">
      <w:pPr>
        <w:keepNext w:val="0"/>
        <w:keepLines w:val="0"/>
        <w:pageBreakBefore w:val="0"/>
        <w:kinsoku/>
        <w:wordWrap/>
        <w:overflowPunct/>
        <w:topLinePunct w:val="0"/>
        <w:autoSpaceDE/>
        <w:autoSpaceDN/>
        <w:bidi w:val="0"/>
        <w:adjustRightInd/>
        <w:snapToGrid/>
        <w:spacing w:line="360" w:lineRule="exact"/>
        <w:jc w:val="left"/>
        <w:textAlignment w:val="auto"/>
      </w:pPr>
    </w:p>
    <w:sectPr>
      <w:footerReference r:id="rId6" w:type="first"/>
      <w:footerReference r:id="rId5" w:type="default"/>
      <w:pgSz w:w="11906" w:h="16838"/>
      <w:pgMar w:top="1440" w:right="1746" w:bottom="1440" w:left="1746"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886DF">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F23DD3E">
                          <w:pPr>
                            <w:pStyle w:val="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PAGE  \* MERGEFORMAT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- 2 -</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4"/>
                              <w:szCs w:val="24"/>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2F23DD3E">
                    <w:pPr>
                      <w:pStyle w:val="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PAGE  \* MERGEFORMAT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- 2 -</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4"/>
                        <w:szCs w:val="24"/>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5208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F56A17">
                          <w:pPr>
                            <w:pStyle w:val="4"/>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08F56A17">
                    <w:pPr>
                      <w:pStyle w:val="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171EB">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52E4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705A1"/>
    <w:rsid w:val="084C21AB"/>
    <w:rsid w:val="0B40510E"/>
    <w:rsid w:val="0FFB5270"/>
    <w:rsid w:val="3C335B0E"/>
    <w:rsid w:val="426C758B"/>
    <w:rsid w:val="4B4134EE"/>
    <w:rsid w:val="5FE705A1"/>
    <w:rsid w:val="775F4C20"/>
    <w:rsid w:val="7FDEE414"/>
    <w:rsid w:val="7FF35603"/>
    <w:rsid w:val="9FFF6EB9"/>
    <w:rsid w:val="B08E5507"/>
    <w:rsid w:val="BFBC007C"/>
    <w:rsid w:val="EFEF9C8A"/>
    <w:rsid w:val="FFF9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Body Text First Indent"/>
    <w:basedOn w:val="3"/>
    <w:qFormat/>
    <w:uiPriority w:val="0"/>
    <w:pPr>
      <w:ind w:firstLine="420" w:firstLineChars="100"/>
    </w:pPr>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5164</Words>
  <Characters>5328</Characters>
  <Lines>0</Lines>
  <Paragraphs>0</Paragraphs>
  <TotalTime>5</TotalTime>
  <ScaleCrop>false</ScaleCrop>
  <LinksUpToDate>false</LinksUpToDate>
  <CharactersWithSpaces>5485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2025-10-10T08:16:00Z</dcterms:created>
  <dc:creator>许文财</dc:creator>
  <cp:lastModifiedBy>许文财</cp:lastModifiedBy>
  <cp:lastPrinted>2025-10-21T15:52:00Z</cp:lastPrinted>
  <dcterms:modified xsi:type="dcterms:W3CDTF">2026-03-06T07:07:45Z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E39895AC4C914A6EB0B1139B93769690_13</vt:lpwstr>
  </property>
  <property fmtid="{D5CDD505-2E9C-101B-9397-08002B2CF9AE}" pid="4" name="KSOTemplateDocerSaveRecord">
    <vt:lpwstr>eyJoZGlkIjoiZjVjMGVkYjE0ZDRiMjhhNjM3MjEzMTIyZTU5NjkxYTAiLCJ1c2VySWQiOiI0OTIwNDMxOTcifQ==</vt:lpwstr>
  </property>
</Properties>
</file>